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08" w:rsidRDefault="008F1597" w:rsidP="00BB63CF">
      <w:pPr>
        <w:pStyle w:val="AvertissementIB"/>
        <w:pBdr>
          <w:top w:val="none" w:sz="0" w:space="0" w:color="auto"/>
          <w:left w:val="none" w:sz="0" w:space="0" w:color="auto"/>
          <w:bottom w:val="none" w:sz="0" w:space="0" w:color="auto"/>
          <w:right w:val="none" w:sz="0" w:space="0" w:color="auto"/>
        </w:pBdr>
        <w:jc w:val="center"/>
        <w:rPr>
          <w:rFonts w:asciiTheme="minorHAnsi" w:hAnsiTheme="minorHAnsi"/>
          <w:b/>
          <w:sz w:val="28"/>
          <w:szCs w:val="28"/>
        </w:rPr>
      </w:pPr>
      <w:bookmarkStart w:id="0" w:name="_Toc464567149"/>
      <w:r>
        <w:rPr>
          <w:rFonts w:asciiTheme="minorHAnsi" w:hAnsiTheme="minorHAnsi"/>
          <w:b/>
          <w:sz w:val="28"/>
          <w:szCs w:val="28"/>
        </w:rPr>
        <w:t>Correctif de l’exercice</w:t>
      </w:r>
      <w:r w:rsidR="001A1FED">
        <w:rPr>
          <w:rFonts w:asciiTheme="minorHAnsi" w:hAnsiTheme="minorHAnsi"/>
          <w:b/>
          <w:sz w:val="28"/>
          <w:szCs w:val="28"/>
        </w:rPr>
        <w:t xml:space="preserve"> </w:t>
      </w:r>
      <w:r w:rsidR="00A11C08" w:rsidRPr="00635261">
        <w:rPr>
          <w:rFonts w:asciiTheme="minorHAnsi" w:hAnsiTheme="minorHAnsi"/>
          <w:b/>
          <w:sz w:val="28"/>
          <w:szCs w:val="28"/>
        </w:rPr>
        <w:t>Étude de Risque</w:t>
      </w:r>
      <w:r w:rsidR="00635261">
        <w:rPr>
          <w:rFonts w:asciiTheme="minorHAnsi" w:hAnsiTheme="minorHAnsi"/>
          <w:b/>
          <w:sz w:val="28"/>
          <w:szCs w:val="28"/>
        </w:rPr>
        <w:t>s</w:t>
      </w:r>
      <w:bookmarkEnd w:id="0"/>
      <w:r>
        <w:rPr>
          <w:rFonts w:asciiTheme="minorHAnsi" w:hAnsiTheme="minorHAnsi"/>
          <w:b/>
          <w:sz w:val="28"/>
          <w:szCs w:val="28"/>
        </w:rPr>
        <w:t xml:space="preserve"> SH formation du 12-19 juin 2017</w:t>
      </w:r>
    </w:p>
    <w:p w:rsidR="00A60BB1" w:rsidRDefault="004B719B">
      <w:pPr>
        <w:pStyle w:val="AvertissementIB"/>
        <w:jc w:val="left"/>
        <w:rPr>
          <w:rFonts w:asciiTheme="minorHAnsi" w:hAnsiTheme="minorHAnsi"/>
        </w:rPr>
      </w:pPr>
      <w:r>
        <w:rPr>
          <w:rFonts w:asciiTheme="minorHAnsi" w:hAnsiTheme="minorHAnsi"/>
        </w:rPr>
        <w:t>-</w:t>
      </w:r>
      <w:r w:rsidRPr="00246F9C">
        <w:rPr>
          <w:rFonts w:asciiTheme="minorHAnsi" w:hAnsiTheme="minorHAnsi"/>
        </w:rPr>
        <w:t xml:space="preserve">Les éléments barrés </w:t>
      </w:r>
      <w:r>
        <w:rPr>
          <w:rFonts w:asciiTheme="minorHAnsi" w:hAnsiTheme="minorHAnsi"/>
        </w:rPr>
        <w:t xml:space="preserve">sont  repris pour mémoire mais </w:t>
      </w:r>
      <w:r w:rsidRPr="00246F9C">
        <w:rPr>
          <w:rFonts w:asciiTheme="minorHAnsi" w:hAnsiTheme="minorHAnsi"/>
        </w:rPr>
        <w:t>ne concernent pas l’ER-SH et ne sont donc pas pris en compte dans cet exercice</w:t>
      </w:r>
    </w:p>
    <w:p w:rsidR="00A60BB1" w:rsidRDefault="004B719B">
      <w:pPr>
        <w:pStyle w:val="AvertissementIB"/>
        <w:jc w:val="left"/>
        <w:rPr>
          <w:rFonts w:asciiTheme="minorHAnsi" w:hAnsiTheme="minorHAnsi"/>
        </w:rPr>
      </w:pPr>
      <w:r>
        <w:rPr>
          <w:rFonts w:asciiTheme="minorHAnsi" w:hAnsiTheme="minorHAnsi"/>
        </w:rPr>
        <w:t>- le présent document suit globalement les points repris dans la partie E du GRER mais ne constitue pas un exemple exhaustif et complet de rapport.</w:t>
      </w:r>
    </w:p>
    <w:p w:rsidR="00D55096" w:rsidRDefault="00D55096" w:rsidP="00D55096">
      <w:pPr>
        <w:pStyle w:val="Corpsdetexte"/>
        <w:spacing w:after="60"/>
      </w:pPr>
      <w:r>
        <w:t xml:space="preserve">Monsieur </w:t>
      </w:r>
      <w:proofErr w:type="spellStart"/>
      <w:r>
        <w:t>Tartanpion</w:t>
      </w:r>
      <w:proofErr w:type="spellEnd"/>
      <w:r>
        <w:t xml:space="preserve"> a mandaté le bureau d’étude « BUREAU D’EXPERT » afin de réaliser une étude de risques dans le cadre de l’étude de caractérisation de son</w:t>
      </w:r>
      <w:r w:rsidR="00337E8F">
        <w:t xml:space="preserve"> terrain</w:t>
      </w:r>
      <w:r>
        <w:t>. Ces études de sols sont nécessaires étant donné l’arrêt de l’activité de station-service dans un avenir proche et la transformation du shop en logements résidentiels</w:t>
      </w:r>
      <w:r w:rsidR="00C1598E">
        <w:t xml:space="preserve"> sans jardins</w:t>
      </w:r>
      <w:r>
        <w:t>.</w:t>
      </w:r>
    </w:p>
    <w:p w:rsidR="00D55096" w:rsidRDefault="00D55096" w:rsidP="006E3DB5">
      <w:pPr>
        <w:pStyle w:val="Corpsdetexte"/>
        <w:spacing w:after="60"/>
        <w:rPr>
          <w:b/>
          <w:u w:val="single"/>
          <w:lang w:val="fr-FR"/>
        </w:rPr>
      </w:pPr>
    </w:p>
    <w:p w:rsidR="00A11C08" w:rsidRPr="00E7223A" w:rsidRDefault="007C38D0" w:rsidP="006E3DB5">
      <w:pPr>
        <w:pStyle w:val="Corpsdetexte"/>
        <w:spacing w:after="60"/>
        <w:rPr>
          <w:b/>
          <w:u w:val="single"/>
        </w:rPr>
      </w:pPr>
      <w:r w:rsidRPr="00E7223A">
        <w:rPr>
          <w:b/>
          <w:u w:val="single"/>
          <w:lang w:val="fr-FR"/>
        </w:rPr>
        <w:t>1. Résumé</w:t>
      </w:r>
      <w:r w:rsidRPr="00E7223A">
        <w:rPr>
          <w:b/>
          <w:u w:val="single"/>
        </w:rPr>
        <w:t xml:space="preserve"> </w:t>
      </w:r>
    </w:p>
    <w:p w:rsidR="006E3DB5" w:rsidRDefault="006E3DB5" w:rsidP="006E3DB5">
      <w:pPr>
        <w:pStyle w:val="Corpsdetexte"/>
        <w:spacing w:after="60"/>
      </w:pPr>
    </w:p>
    <w:p w:rsidR="0075172B" w:rsidRDefault="0075172B" w:rsidP="0075172B">
      <w:pPr>
        <w:pStyle w:val="Corpsdetexte"/>
        <w:spacing w:after="60"/>
      </w:pPr>
      <w:r>
        <w:t xml:space="preserve">Le terrain concerné présente un remblai pollué en métaux lourd et en HAP et comprend une tache surimposée en hydrocarbures pétroliers de type mazout. 3 bases d’évaluation des risques sont retenues : (1) générique, usage agricole, (2) actuelle, usage industriel (station-service) et (3) projetée, usage résidentiel. </w:t>
      </w:r>
    </w:p>
    <w:p w:rsidR="0075172B" w:rsidRDefault="0075172B" w:rsidP="0075172B">
      <w:pPr>
        <w:pStyle w:val="Corpsdetexte"/>
        <w:spacing w:after="60"/>
      </w:pPr>
    </w:p>
    <w:p w:rsidR="0075172B" w:rsidRDefault="0075172B" w:rsidP="0075172B">
      <w:pPr>
        <w:pStyle w:val="Corpsdetexte"/>
        <w:spacing w:after="60"/>
      </w:pPr>
      <w:r>
        <w:t>L’évaluation simplifiée des risques pour la santé humaine montre une hypothèse de menace grave pour la base d’évaluation générique (agricole), une absence de risque pour la base d’évaluation actuelle (industriel) et une hypothèse de menace grave pour la base d’évaluation projetée (résidentiel). Une étude détaillée des risques est réalisée pour cette dernière base d’évaluation. Une restriction d’usage interdisant l’usage agricole est proposée.</w:t>
      </w:r>
    </w:p>
    <w:p w:rsidR="0075172B" w:rsidRDefault="0075172B" w:rsidP="0075172B">
      <w:pPr>
        <w:pStyle w:val="Corpsdetexte"/>
        <w:spacing w:after="60"/>
      </w:pPr>
    </w:p>
    <w:p w:rsidR="0075172B" w:rsidRDefault="0075172B" w:rsidP="0075172B">
      <w:pPr>
        <w:pStyle w:val="Corpsdetexte"/>
        <w:spacing w:after="60"/>
      </w:pPr>
      <w:r>
        <w:t>L’évaluation détaillée des risques volet santé humaine pour la base d’évaluation « projet » montre que la tache de pollution en hydrocarbures ne présente pas de risques de même que la pollution liée au remblai   dans la mesure où la dalle de béton actuellement en place est maintenue,  afin de couper la voie d’exposition «ingestion de sol et de poussières de sol ». Ceci constitue une mesure de sécurité (restriction d’utilisation) qui implique également l’absence de jardin potager et de zone verte.</w:t>
      </w:r>
      <w:r>
        <w:rPr>
          <w:rStyle w:val="Appelnotedebasdep"/>
        </w:rPr>
        <w:footnoteReference w:id="1"/>
      </w:r>
    </w:p>
    <w:p w:rsidR="0075172B" w:rsidRDefault="0075172B" w:rsidP="0075172B">
      <w:pPr>
        <w:pStyle w:val="Corpsdetexte"/>
        <w:spacing w:after="60"/>
      </w:pPr>
    </w:p>
    <w:p w:rsidR="0075172B" w:rsidRDefault="0075172B" w:rsidP="0075172B">
      <w:pPr>
        <w:pStyle w:val="Corpsdetexte"/>
        <w:spacing w:after="60"/>
      </w:pPr>
      <w:r>
        <w:t>Le tableau 2 présente la globalisation des résultats de l’étude de risques.</w:t>
      </w:r>
    </w:p>
    <w:p w:rsidR="00A365EA" w:rsidRDefault="00A365EA" w:rsidP="006E3DB5">
      <w:pPr>
        <w:pStyle w:val="Corpsdetexte"/>
        <w:spacing w:after="60"/>
      </w:pPr>
    </w:p>
    <w:tbl>
      <w:tblPr>
        <w:tblpPr w:leftFromText="141" w:rightFromText="141" w:vertAnchor="text" w:horzAnchor="margin"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4551"/>
      </w:tblGrid>
      <w:tr w:rsidR="009C2292" w:rsidRPr="00E75948" w:rsidTr="009C2292">
        <w:trPr>
          <w:trHeight w:val="563"/>
        </w:trPr>
        <w:tc>
          <w:tcPr>
            <w:tcW w:w="3652" w:type="dxa"/>
            <w:vAlign w:val="center"/>
          </w:tcPr>
          <w:p w:rsidR="009C2292" w:rsidRPr="0069697E" w:rsidRDefault="009C2292" w:rsidP="009C2292">
            <w:pPr>
              <w:spacing w:after="0"/>
              <w:jc w:val="center"/>
              <w:rPr>
                <w:sz w:val="18"/>
                <w:szCs w:val="18"/>
              </w:rPr>
            </w:pPr>
            <w:r w:rsidRPr="0069697E">
              <w:rPr>
                <w:sz w:val="18"/>
                <w:szCs w:val="18"/>
              </w:rPr>
              <w:t>Eléments évalués</w:t>
            </w:r>
          </w:p>
        </w:tc>
        <w:tc>
          <w:tcPr>
            <w:tcW w:w="4551" w:type="dxa"/>
            <w:vAlign w:val="center"/>
          </w:tcPr>
          <w:p w:rsidR="009C2292" w:rsidRPr="0069697E" w:rsidRDefault="009C2292" w:rsidP="009C2292">
            <w:pPr>
              <w:spacing w:after="0"/>
              <w:jc w:val="center"/>
              <w:rPr>
                <w:sz w:val="18"/>
                <w:szCs w:val="18"/>
              </w:rPr>
            </w:pPr>
            <w:r w:rsidRPr="0069697E">
              <w:rPr>
                <w:sz w:val="18"/>
                <w:szCs w:val="18"/>
              </w:rPr>
              <w:t xml:space="preserve"> Nom du document</w:t>
            </w:r>
          </w:p>
        </w:tc>
      </w:tr>
      <w:tr w:rsidR="009C2292" w:rsidRPr="000B756C" w:rsidTr="009C2292">
        <w:trPr>
          <w:trHeight w:val="484"/>
        </w:trPr>
        <w:tc>
          <w:tcPr>
            <w:tcW w:w="3652" w:type="dxa"/>
            <w:vAlign w:val="center"/>
          </w:tcPr>
          <w:p w:rsidR="009C2292" w:rsidRPr="0069697E" w:rsidRDefault="0069697E" w:rsidP="0069697E">
            <w:pPr>
              <w:spacing w:after="0"/>
              <w:jc w:val="center"/>
            </w:pPr>
            <w:r>
              <w:t xml:space="preserve">SH : </w:t>
            </w:r>
            <w:r w:rsidR="009C2292" w:rsidRPr="0069697E">
              <w:t xml:space="preserve">base </w:t>
            </w:r>
            <w:r>
              <w:t xml:space="preserve">d’évaluation </w:t>
            </w:r>
            <w:r w:rsidR="009C2292" w:rsidRPr="0069697E">
              <w:t>générique</w:t>
            </w:r>
            <w:r>
              <w:t> : agricole</w:t>
            </w:r>
          </w:p>
        </w:tc>
        <w:tc>
          <w:tcPr>
            <w:tcW w:w="4551" w:type="dxa"/>
            <w:vAlign w:val="center"/>
          </w:tcPr>
          <w:p w:rsidR="009C2292" w:rsidRPr="000B756C" w:rsidRDefault="0069697E" w:rsidP="009C2292">
            <w:pPr>
              <w:spacing w:after="0"/>
              <w:jc w:val="center"/>
              <w:rPr>
                <w:strike/>
              </w:rPr>
            </w:pPr>
            <w:r w:rsidRPr="00D61A00">
              <w:rPr>
                <w:rFonts w:cs="Arial"/>
                <w:sz w:val="16"/>
                <w:szCs w:val="16"/>
              </w:rPr>
              <w:t>Exercice EDR SH juin 2017.xlsm</w:t>
            </w:r>
          </w:p>
        </w:tc>
      </w:tr>
      <w:tr w:rsidR="0069697E" w:rsidRPr="000B756C" w:rsidTr="009C2292">
        <w:trPr>
          <w:trHeight w:val="484"/>
        </w:trPr>
        <w:tc>
          <w:tcPr>
            <w:tcW w:w="3652" w:type="dxa"/>
            <w:vAlign w:val="center"/>
          </w:tcPr>
          <w:p w:rsidR="0069697E" w:rsidRPr="0069697E" w:rsidRDefault="0069697E" w:rsidP="0069697E">
            <w:pPr>
              <w:spacing w:after="0"/>
              <w:jc w:val="center"/>
            </w:pPr>
            <w:r>
              <w:t xml:space="preserve">SH : </w:t>
            </w:r>
            <w:r w:rsidRPr="0069697E">
              <w:t xml:space="preserve">base </w:t>
            </w:r>
            <w:r>
              <w:t>d’évaluation actuelle : industriel</w:t>
            </w:r>
          </w:p>
        </w:tc>
        <w:tc>
          <w:tcPr>
            <w:tcW w:w="4551" w:type="dxa"/>
            <w:vAlign w:val="center"/>
          </w:tcPr>
          <w:p w:rsidR="0069697E" w:rsidRPr="000B756C" w:rsidRDefault="0069697E" w:rsidP="0069697E">
            <w:pPr>
              <w:spacing w:after="0"/>
              <w:jc w:val="center"/>
              <w:rPr>
                <w:strike/>
              </w:rPr>
            </w:pPr>
            <w:r w:rsidRPr="00D61A00">
              <w:rPr>
                <w:rFonts w:cs="Arial"/>
                <w:sz w:val="16"/>
                <w:szCs w:val="16"/>
              </w:rPr>
              <w:t>Exercice EDR SH juin 2017.xlsm</w:t>
            </w:r>
          </w:p>
        </w:tc>
      </w:tr>
      <w:tr w:rsidR="0069697E" w:rsidRPr="000B756C" w:rsidTr="009C2292">
        <w:trPr>
          <w:trHeight w:val="484"/>
        </w:trPr>
        <w:tc>
          <w:tcPr>
            <w:tcW w:w="3652" w:type="dxa"/>
            <w:vAlign w:val="center"/>
          </w:tcPr>
          <w:p w:rsidR="0069697E" w:rsidRPr="0069697E" w:rsidRDefault="0069697E" w:rsidP="0069697E">
            <w:pPr>
              <w:spacing w:after="0"/>
              <w:jc w:val="center"/>
            </w:pPr>
            <w:r>
              <w:t xml:space="preserve">SH : </w:t>
            </w:r>
            <w:r w:rsidRPr="0069697E">
              <w:t xml:space="preserve">base </w:t>
            </w:r>
            <w:r>
              <w:t>d’évaluation projet : résidentiel</w:t>
            </w:r>
          </w:p>
        </w:tc>
        <w:tc>
          <w:tcPr>
            <w:tcW w:w="4551" w:type="dxa"/>
            <w:vAlign w:val="center"/>
          </w:tcPr>
          <w:p w:rsidR="0069697E" w:rsidRPr="000B756C" w:rsidRDefault="0069697E" w:rsidP="0069697E">
            <w:pPr>
              <w:spacing w:after="0"/>
              <w:jc w:val="center"/>
              <w:rPr>
                <w:strike/>
              </w:rPr>
            </w:pPr>
            <w:r w:rsidRPr="00D61A00">
              <w:rPr>
                <w:rFonts w:cs="Arial"/>
                <w:sz w:val="16"/>
                <w:szCs w:val="16"/>
              </w:rPr>
              <w:t>Exercice EDR SH juin 2017.xlsm</w:t>
            </w:r>
            <w:r>
              <w:rPr>
                <w:rFonts w:cs="Arial"/>
                <w:sz w:val="16"/>
                <w:szCs w:val="16"/>
              </w:rPr>
              <w:t xml:space="preserve"> + rapport S-RISK</w:t>
            </w:r>
          </w:p>
        </w:tc>
      </w:tr>
    </w:tbl>
    <w:p w:rsidR="009C2292" w:rsidRPr="000B756C" w:rsidRDefault="009C2292" w:rsidP="006E3DB5">
      <w:pPr>
        <w:pStyle w:val="Corpsdetexte"/>
        <w:spacing w:after="60"/>
        <w:rPr>
          <w:strike/>
        </w:rPr>
      </w:pPr>
    </w:p>
    <w:p w:rsidR="004E1CE9" w:rsidRPr="0069697E" w:rsidRDefault="004E1CE9" w:rsidP="00A11C08">
      <w:pPr>
        <w:pStyle w:val="Corpsdetexte"/>
        <w:spacing w:after="60"/>
        <w:rPr>
          <w:i/>
          <w:iCs/>
        </w:rPr>
      </w:pPr>
      <w:r w:rsidRPr="0069697E">
        <w:rPr>
          <w:i/>
          <w:iCs/>
        </w:rPr>
        <w:t xml:space="preserve">Tableau 1 : Listing des documents générés par les outils informatiques par base d’évaluation et repris en annexe </w:t>
      </w:r>
    </w:p>
    <w:p w:rsidR="00A353E8" w:rsidRDefault="00A353E8">
      <w:pPr>
        <w:spacing w:after="0"/>
        <w:jc w:val="left"/>
        <w:rPr>
          <w:i/>
          <w:iCs/>
        </w:rPr>
      </w:pPr>
      <w:r>
        <w:rPr>
          <w:i/>
          <w:iCs/>
        </w:rPr>
        <w:br w:type="page"/>
      </w:r>
    </w:p>
    <w:p w:rsidR="006E0B7C" w:rsidRDefault="006E0B7C" w:rsidP="00A11C08">
      <w:pPr>
        <w:pStyle w:val="Corpsdetexte"/>
        <w:spacing w:after="60"/>
        <w:rPr>
          <w:i/>
          <w:iCs/>
        </w:rPr>
      </w:pPr>
    </w:p>
    <w:tbl>
      <w:tblPr>
        <w:tblStyle w:val="Grilledutableau"/>
        <w:tblW w:w="0" w:type="auto"/>
        <w:tblLook w:val="04A0"/>
      </w:tblPr>
      <w:tblGrid>
        <w:gridCol w:w="3953"/>
        <w:gridCol w:w="765"/>
        <w:gridCol w:w="777"/>
        <w:gridCol w:w="850"/>
        <w:gridCol w:w="851"/>
        <w:gridCol w:w="850"/>
        <w:gridCol w:w="851"/>
      </w:tblGrid>
      <w:tr w:rsidR="009C2292" w:rsidTr="009C2292">
        <w:trPr>
          <w:trHeight w:val="429"/>
        </w:trPr>
        <w:tc>
          <w:tcPr>
            <w:tcW w:w="3953" w:type="dxa"/>
            <w:vAlign w:val="center"/>
          </w:tcPr>
          <w:p w:rsidR="009C2292" w:rsidRDefault="009C2292" w:rsidP="009C2292">
            <w:pPr>
              <w:spacing w:before="240" w:after="0"/>
              <w:jc w:val="center"/>
            </w:pPr>
          </w:p>
        </w:tc>
        <w:tc>
          <w:tcPr>
            <w:tcW w:w="2392" w:type="dxa"/>
            <w:gridSpan w:val="3"/>
            <w:vAlign w:val="center"/>
          </w:tcPr>
          <w:p w:rsidR="009C2292" w:rsidRDefault="009C2292" w:rsidP="009C2292">
            <w:pPr>
              <w:spacing w:after="0"/>
              <w:jc w:val="center"/>
            </w:pPr>
            <w:r>
              <w:t>ESR</w:t>
            </w:r>
          </w:p>
        </w:tc>
        <w:tc>
          <w:tcPr>
            <w:tcW w:w="2552" w:type="dxa"/>
            <w:gridSpan w:val="3"/>
            <w:vAlign w:val="center"/>
          </w:tcPr>
          <w:p w:rsidR="009C2292" w:rsidRDefault="009C2292" w:rsidP="009C2292">
            <w:pPr>
              <w:spacing w:after="0"/>
              <w:jc w:val="center"/>
            </w:pPr>
            <w:r>
              <w:t>EDR</w:t>
            </w:r>
          </w:p>
        </w:tc>
      </w:tr>
      <w:tr w:rsidR="009C2292" w:rsidTr="009C2292">
        <w:trPr>
          <w:trHeight w:val="362"/>
        </w:trPr>
        <w:tc>
          <w:tcPr>
            <w:tcW w:w="3953" w:type="dxa"/>
            <w:vAlign w:val="center"/>
          </w:tcPr>
          <w:p w:rsidR="009C2292" w:rsidRDefault="009C2292" w:rsidP="009C2292">
            <w:pPr>
              <w:spacing w:after="0"/>
              <w:jc w:val="center"/>
            </w:pPr>
            <w:r>
              <w:t>Base d’évaluation</w:t>
            </w:r>
          </w:p>
        </w:tc>
        <w:tc>
          <w:tcPr>
            <w:tcW w:w="765" w:type="dxa"/>
            <w:vAlign w:val="center"/>
          </w:tcPr>
          <w:p w:rsidR="009C2292" w:rsidRDefault="009C2292" w:rsidP="009C2292">
            <w:pPr>
              <w:spacing w:after="0"/>
              <w:jc w:val="center"/>
            </w:pPr>
            <w:r>
              <w:t>SH</w:t>
            </w:r>
          </w:p>
        </w:tc>
        <w:tc>
          <w:tcPr>
            <w:tcW w:w="777" w:type="dxa"/>
            <w:vAlign w:val="center"/>
          </w:tcPr>
          <w:p w:rsidR="009C2292" w:rsidRDefault="009C2292" w:rsidP="009C2292">
            <w:pPr>
              <w:spacing w:after="0"/>
              <w:jc w:val="center"/>
            </w:pPr>
            <w:r>
              <w:t>N</w:t>
            </w:r>
          </w:p>
        </w:tc>
        <w:tc>
          <w:tcPr>
            <w:tcW w:w="850" w:type="dxa"/>
            <w:vAlign w:val="center"/>
          </w:tcPr>
          <w:p w:rsidR="009C2292" w:rsidRDefault="009C2292" w:rsidP="009C2292">
            <w:pPr>
              <w:spacing w:after="0"/>
              <w:jc w:val="center"/>
            </w:pPr>
            <w:r>
              <w:t>E</w:t>
            </w:r>
          </w:p>
        </w:tc>
        <w:tc>
          <w:tcPr>
            <w:tcW w:w="851" w:type="dxa"/>
            <w:vAlign w:val="center"/>
          </w:tcPr>
          <w:p w:rsidR="009C2292" w:rsidRDefault="009C2292" w:rsidP="009C2292">
            <w:pPr>
              <w:spacing w:after="0"/>
              <w:jc w:val="center"/>
            </w:pPr>
            <w:r>
              <w:t>SH</w:t>
            </w:r>
          </w:p>
        </w:tc>
        <w:tc>
          <w:tcPr>
            <w:tcW w:w="850" w:type="dxa"/>
            <w:vAlign w:val="center"/>
          </w:tcPr>
          <w:p w:rsidR="009C2292" w:rsidRDefault="009C2292" w:rsidP="009C2292">
            <w:pPr>
              <w:spacing w:after="0"/>
              <w:jc w:val="center"/>
            </w:pPr>
            <w:r>
              <w:t>N</w:t>
            </w:r>
          </w:p>
        </w:tc>
        <w:tc>
          <w:tcPr>
            <w:tcW w:w="851" w:type="dxa"/>
            <w:vAlign w:val="center"/>
          </w:tcPr>
          <w:p w:rsidR="009C2292" w:rsidRDefault="009C2292" w:rsidP="009C2292">
            <w:pPr>
              <w:spacing w:after="0"/>
              <w:jc w:val="center"/>
            </w:pPr>
            <w:r>
              <w:t>E</w:t>
            </w:r>
          </w:p>
        </w:tc>
      </w:tr>
      <w:tr w:rsidR="0075172B" w:rsidTr="006C4C26">
        <w:trPr>
          <w:trHeight w:val="425"/>
        </w:trPr>
        <w:tc>
          <w:tcPr>
            <w:tcW w:w="3953" w:type="dxa"/>
            <w:shd w:val="clear" w:color="auto" w:fill="auto"/>
            <w:vAlign w:val="center"/>
          </w:tcPr>
          <w:p w:rsidR="0075172B" w:rsidRPr="006C4C26" w:rsidRDefault="0075172B" w:rsidP="00A353E8">
            <w:pPr>
              <w:spacing w:after="0"/>
              <w:jc w:val="center"/>
            </w:pPr>
            <w:r w:rsidRPr="006C4C26">
              <w:t>Générique : plan de secteur ; agricole</w:t>
            </w:r>
            <w:r>
              <w:t xml:space="preserve"> (II)</w:t>
            </w:r>
          </w:p>
        </w:tc>
        <w:tc>
          <w:tcPr>
            <w:tcW w:w="765" w:type="dxa"/>
            <w:shd w:val="clear" w:color="auto" w:fill="auto"/>
            <w:vAlign w:val="center"/>
          </w:tcPr>
          <w:p w:rsidR="0075172B" w:rsidRDefault="0075172B" w:rsidP="00A353E8">
            <w:pPr>
              <w:spacing w:after="0"/>
              <w:jc w:val="center"/>
            </w:pPr>
            <w:r>
              <w:t>HMG</w:t>
            </w:r>
          </w:p>
        </w:tc>
        <w:tc>
          <w:tcPr>
            <w:tcW w:w="777" w:type="dxa"/>
            <w:shd w:val="clear" w:color="auto" w:fill="auto"/>
            <w:vAlign w:val="center"/>
          </w:tcPr>
          <w:p w:rsidR="0075172B" w:rsidRDefault="0075172B" w:rsidP="00A353E8">
            <w:pPr>
              <w:spacing w:after="0"/>
              <w:jc w:val="center"/>
            </w:pPr>
            <w:r>
              <w:t>AMG</w:t>
            </w:r>
          </w:p>
        </w:tc>
        <w:tc>
          <w:tcPr>
            <w:tcW w:w="850" w:type="dxa"/>
            <w:shd w:val="clear" w:color="auto" w:fill="auto"/>
            <w:vAlign w:val="center"/>
          </w:tcPr>
          <w:p w:rsidR="0075172B" w:rsidRDefault="0075172B" w:rsidP="00A353E8">
            <w:pPr>
              <w:spacing w:after="0"/>
              <w:jc w:val="center"/>
            </w:pPr>
            <w:r>
              <w:t>ISB</w:t>
            </w:r>
          </w:p>
        </w:tc>
        <w:tc>
          <w:tcPr>
            <w:tcW w:w="851" w:type="dxa"/>
            <w:shd w:val="clear" w:color="auto" w:fill="auto"/>
            <w:vAlign w:val="center"/>
          </w:tcPr>
          <w:p w:rsidR="0075172B" w:rsidRDefault="0075172B" w:rsidP="00A353E8">
            <w:pPr>
              <w:spacing w:after="0"/>
              <w:jc w:val="center"/>
            </w:pPr>
            <w:r>
              <w:t>MG</w:t>
            </w:r>
          </w:p>
        </w:tc>
        <w:tc>
          <w:tcPr>
            <w:tcW w:w="850" w:type="dxa"/>
            <w:shd w:val="clear" w:color="auto" w:fill="auto"/>
            <w:vAlign w:val="center"/>
          </w:tcPr>
          <w:p w:rsidR="0075172B" w:rsidRDefault="0075172B" w:rsidP="00A353E8">
            <w:pPr>
              <w:spacing w:after="0"/>
              <w:jc w:val="center"/>
            </w:pPr>
            <w:r>
              <w:t>/</w:t>
            </w:r>
          </w:p>
        </w:tc>
        <w:tc>
          <w:tcPr>
            <w:tcW w:w="851" w:type="dxa"/>
            <w:shd w:val="clear" w:color="auto" w:fill="auto"/>
            <w:vAlign w:val="center"/>
          </w:tcPr>
          <w:p w:rsidR="0075172B" w:rsidRDefault="0075172B" w:rsidP="00A353E8">
            <w:pPr>
              <w:spacing w:after="0"/>
              <w:jc w:val="center"/>
            </w:pPr>
            <w:r>
              <w:t>/</w:t>
            </w:r>
          </w:p>
        </w:tc>
      </w:tr>
      <w:tr w:rsidR="0075172B" w:rsidTr="009C2292">
        <w:trPr>
          <w:trHeight w:val="419"/>
        </w:trPr>
        <w:tc>
          <w:tcPr>
            <w:tcW w:w="3953" w:type="dxa"/>
            <w:vAlign w:val="center"/>
          </w:tcPr>
          <w:p w:rsidR="0075172B" w:rsidRPr="002B781D" w:rsidRDefault="0075172B" w:rsidP="00A353E8">
            <w:pPr>
              <w:spacing w:after="0"/>
              <w:jc w:val="center"/>
            </w:pPr>
            <w:r w:rsidRPr="002B781D">
              <w:t xml:space="preserve">Actuelle : station-service : industriel (V) </w:t>
            </w:r>
          </w:p>
        </w:tc>
        <w:tc>
          <w:tcPr>
            <w:tcW w:w="765" w:type="dxa"/>
            <w:vAlign w:val="center"/>
          </w:tcPr>
          <w:p w:rsidR="0075172B" w:rsidRDefault="0075172B" w:rsidP="00A353E8">
            <w:pPr>
              <w:spacing w:after="0"/>
              <w:jc w:val="center"/>
            </w:pPr>
            <w:r>
              <w:t>AMG</w:t>
            </w:r>
          </w:p>
        </w:tc>
        <w:tc>
          <w:tcPr>
            <w:tcW w:w="777" w:type="dxa"/>
            <w:vAlign w:val="center"/>
          </w:tcPr>
          <w:p w:rsidR="0075172B" w:rsidRDefault="0075172B" w:rsidP="00A353E8">
            <w:pPr>
              <w:spacing w:after="0"/>
              <w:jc w:val="center"/>
            </w:pPr>
            <w:r>
              <w:t>AMG</w:t>
            </w:r>
          </w:p>
        </w:tc>
        <w:tc>
          <w:tcPr>
            <w:tcW w:w="850" w:type="dxa"/>
            <w:vAlign w:val="center"/>
          </w:tcPr>
          <w:p w:rsidR="0075172B" w:rsidRDefault="0075172B" w:rsidP="00A353E8">
            <w:pPr>
              <w:spacing w:after="0"/>
              <w:jc w:val="center"/>
            </w:pPr>
            <w:r>
              <w:t>ISB</w:t>
            </w:r>
          </w:p>
        </w:tc>
        <w:tc>
          <w:tcPr>
            <w:tcW w:w="851" w:type="dxa"/>
            <w:vAlign w:val="center"/>
          </w:tcPr>
          <w:p w:rsidR="0075172B" w:rsidRDefault="0075172B" w:rsidP="00A353E8">
            <w:pPr>
              <w:spacing w:after="0"/>
              <w:jc w:val="center"/>
            </w:pPr>
            <w:r>
              <w:t>/</w:t>
            </w:r>
          </w:p>
        </w:tc>
        <w:tc>
          <w:tcPr>
            <w:tcW w:w="850" w:type="dxa"/>
            <w:vAlign w:val="center"/>
          </w:tcPr>
          <w:p w:rsidR="0075172B" w:rsidRDefault="0075172B" w:rsidP="00A353E8">
            <w:pPr>
              <w:spacing w:after="0"/>
              <w:jc w:val="center"/>
            </w:pPr>
            <w:r>
              <w:t>/</w:t>
            </w:r>
          </w:p>
        </w:tc>
        <w:tc>
          <w:tcPr>
            <w:tcW w:w="851" w:type="dxa"/>
            <w:vAlign w:val="center"/>
          </w:tcPr>
          <w:p w:rsidR="0075172B" w:rsidRDefault="0075172B" w:rsidP="00A353E8">
            <w:pPr>
              <w:spacing w:after="0"/>
              <w:jc w:val="center"/>
            </w:pPr>
            <w:r>
              <w:t>/</w:t>
            </w:r>
          </w:p>
        </w:tc>
      </w:tr>
      <w:tr w:rsidR="0075172B" w:rsidTr="009C2292">
        <w:trPr>
          <w:trHeight w:val="419"/>
        </w:trPr>
        <w:tc>
          <w:tcPr>
            <w:tcW w:w="3953" w:type="dxa"/>
            <w:vAlign w:val="center"/>
          </w:tcPr>
          <w:p w:rsidR="0075172B" w:rsidRPr="002B781D" w:rsidRDefault="0075172B" w:rsidP="00A353E8">
            <w:pPr>
              <w:spacing w:after="0"/>
              <w:jc w:val="center"/>
            </w:pPr>
            <w:r w:rsidRPr="002B781D">
              <w:t>Potentielle : habitat : résidentiel (III)</w:t>
            </w:r>
          </w:p>
        </w:tc>
        <w:tc>
          <w:tcPr>
            <w:tcW w:w="765" w:type="dxa"/>
            <w:vAlign w:val="center"/>
          </w:tcPr>
          <w:p w:rsidR="0075172B" w:rsidRDefault="0075172B" w:rsidP="00A353E8">
            <w:pPr>
              <w:spacing w:after="0"/>
              <w:jc w:val="center"/>
            </w:pPr>
            <w:r>
              <w:t>HMG</w:t>
            </w:r>
          </w:p>
        </w:tc>
        <w:tc>
          <w:tcPr>
            <w:tcW w:w="777" w:type="dxa"/>
            <w:vAlign w:val="center"/>
          </w:tcPr>
          <w:p w:rsidR="0075172B" w:rsidRDefault="0075172B" w:rsidP="00A353E8">
            <w:pPr>
              <w:spacing w:after="0"/>
              <w:jc w:val="center"/>
            </w:pPr>
            <w:r>
              <w:t>AMG</w:t>
            </w:r>
          </w:p>
        </w:tc>
        <w:tc>
          <w:tcPr>
            <w:tcW w:w="850" w:type="dxa"/>
            <w:vAlign w:val="center"/>
          </w:tcPr>
          <w:p w:rsidR="0075172B" w:rsidRDefault="0075172B" w:rsidP="00A353E8">
            <w:pPr>
              <w:spacing w:after="0"/>
              <w:jc w:val="center"/>
            </w:pPr>
            <w:r>
              <w:t>ISB</w:t>
            </w:r>
          </w:p>
        </w:tc>
        <w:tc>
          <w:tcPr>
            <w:tcW w:w="851" w:type="dxa"/>
            <w:vAlign w:val="center"/>
          </w:tcPr>
          <w:p w:rsidR="0075172B" w:rsidRDefault="0075172B" w:rsidP="00A353E8">
            <w:pPr>
              <w:spacing w:after="0"/>
              <w:jc w:val="center"/>
            </w:pPr>
            <w:r>
              <w:t>MG</w:t>
            </w:r>
          </w:p>
        </w:tc>
        <w:tc>
          <w:tcPr>
            <w:tcW w:w="850" w:type="dxa"/>
            <w:vAlign w:val="center"/>
          </w:tcPr>
          <w:p w:rsidR="0075172B" w:rsidRDefault="0075172B" w:rsidP="00A353E8">
            <w:pPr>
              <w:spacing w:after="0"/>
              <w:jc w:val="center"/>
            </w:pPr>
            <w:r>
              <w:t>/</w:t>
            </w:r>
          </w:p>
        </w:tc>
        <w:tc>
          <w:tcPr>
            <w:tcW w:w="851" w:type="dxa"/>
            <w:vAlign w:val="center"/>
          </w:tcPr>
          <w:p w:rsidR="0075172B" w:rsidRDefault="0075172B" w:rsidP="00A353E8">
            <w:pPr>
              <w:spacing w:after="0"/>
              <w:jc w:val="center"/>
            </w:pPr>
            <w:r>
              <w:t>/</w:t>
            </w:r>
          </w:p>
        </w:tc>
      </w:tr>
    </w:tbl>
    <w:p w:rsidR="009C2292" w:rsidRDefault="009C2292" w:rsidP="00A11C08">
      <w:pPr>
        <w:pStyle w:val="Corpsdetexte"/>
        <w:spacing w:after="60"/>
        <w:rPr>
          <w:i/>
          <w:iCs/>
        </w:rPr>
      </w:pPr>
    </w:p>
    <w:p w:rsidR="0075172B" w:rsidRDefault="0075172B" w:rsidP="0075172B">
      <w:pPr>
        <w:pStyle w:val="Corpsdetexte"/>
        <w:spacing w:after="60"/>
        <w:rPr>
          <w:i/>
          <w:iCs/>
        </w:rPr>
      </w:pPr>
      <w:r w:rsidRPr="002B781D">
        <w:rPr>
          <w:i/>
          <w:iCs/>
        </w:rPr>
        <w:t>Tableau 2 : Niveau d’évaluation des risques</w:t>
      </w:r>
    </w:p>
    <w:p w:rsidR="009C2292" w:rsidRDefault="009C2292" w:rsidP="00A11C08">
      <w:pPr>
        <w:pStyle w:val="Corpsdetexte"/>
        <w:spacing w:after="60"/>
        <w:rPr>
          <w:i/>
          <w:iCs/>
        </w:rPr>
      </w:pPr>
    </w:p>
    <w:p w:rsidR="00A11C08" w:rsidRPr="00E7223A" w:rsidRDefault="007C38D0" w:rsidP="00A11C08">
      <w:pPr>
        <w:pStyle w:val="Corpsdetexte"/>
        <w:spacing w:after="60"/>
        <w:rPr>
          <w:b/>
          <w:u w:val="single"/>
        </w:rPr>
      </w:pPr>
      <w:r w:rsidRPr="00E7223A">
        <w:rPr>
          <w:b/>
          <w:u w:val="single"/>
        </w:rPr>
        <w:t>2. Caractéristiques du site</w:t>
      </w:r>
    </w:p>
    <w:p w:rsidR="006278ED" w:rsidRDefault="006278ED" w:rsidP="009C2292"/>
    <w:p w:rsidR="00617693" w:rsidRDefault="001A1FED" w:rsidP="009C2292">
      <w:r>
        <w:t>Voir énoncé de l’exercice.</w:t>
      </w:r>
    </w:p>
    <w:p w:rsidR="001A1FED" w:rsidRDefault="00617693" w:rsidP="009C2292">
      <w:r>
        <w:t xml:space="preserve"> </w:t>
      </w:r>
      <w:r w:rsidRPr="00617693">
        <w:t>Le terrain ne se situe pas sur un sol repris à l'annexe B3 du GRER reprenant la liste des sigles pédologiques plus favorables à la mobilité des polluants que le sol standard.</w:t>
      </w:r>
    </w:p>
    <w:p w:rsidR="006278ED" w:rsidRDefault="006278ED" w:rsidP="009C2292"/>
    <w:p w:rsidR="00A11C08" w:rsidRPr="00E7223A" w:rsidRDefault="007C38D0" w:rsidP="00A11C08">
      <w:pPr>
        <w:pStyle w:val="Corpsdetexte"/>
        <w:spacing w:after="60"/>
        <w:rPr>
          <w:b/>
          <w:u w:val="single"/>
        </w:rPr>
      </w:pPr>
      <w:r w:rsidRPr="00E7223A">
        <w:rPr>
          <w:b/>
          <w:u w:val="single"/>
        </w:rPr>
        <w:t>3. Analyse préliminaire</w:t>
      </w:r>
    </w:p>
    <w:p w:rsidR="00A11C08" w:rsidRDefault="00A11C08" w:rsidP="00A11C08">
      <w:pPr>
        <w:pStyle w:val="Corpsdetexte"/>
        <w:spacing w:after="60"/>
        <w:ind w:left="284"/>
      </w:pPr>
      <w:r w:rsidRPr="00276B5E">
        <w:t>3.1 Critères additionnels relatifs à la menace grave</w:t>
      </w:r>
    </w:p>
    <w:p w:rsidR="009C2292" w:rsidRDefault="002B781D" w:rsidP="005A0BE4">
      <w:pPr>
        <w:pStyle w:val="Corpsdetexte"/>
        <w:spacing w:after="60"/>
      </w:pPr>
      <w:r>
        <w:t xml:space="preserve">Aucune des 6 conditions rendant l’assainissement obligatoire n’est </w:t>
      </w:r>
      <w:proofErr w:type="gramStart"/>
      <w:r>
        <w:t>rencontré</w:t>
      </w:r>
      <w:r w:rsidR="005A0C68">
        <w:t>e</w:t>
      </w:r>
      <w:proofErr w:type="gramEnd"/>
      <w:r>
        <w:t xml:space="preserve"> dans le présent dossier</w:t>
      </w:r>
      <w:r w:rsidR="005A0C68">
        <w:t>.</w:t>
      </w:r>
    </w:p>
    <w:p w:rsidR="002B781D" w:rsidRDefault="002B781D" w:rsidP="00A11C08">
      <w:pPr>
        <w:pStyle w:val="Corpsdetexte"/>
        <w:spacing w:after="60"/>
        <w:ind w:left="284"/>
      </w:pPr>
    </w:p>
    <w:p w:rsidR="00A11C08" w:rsidRDefault="00A11C08" w:rsidP="00A11C08">
      <w:pPr>
        <w:pStyle w:val="Corpsdetexte"/>
        <w:spacing w:after="60"/>
        <w:ind w:left="284"/>
      </w:pPr>
      <w:r w:rsidRPr="00276B5E">
        <w:t xml:space="preserve">3.2 </w:t>
      </w:r>
      <w:r w:rsidR="001D5052">
        <w:t xml:space="preserve">Condition d’occupation du terrain et </w:t>
      </w:r>
      <w:r>
        <w:t>Base</w:t>
      </w:r>
      <w:r w:rsidR="001D5052">
        <w:t>s</w:t>
      </w:r>
      <w:r>
        <w:t xml:space="preserve"> d’évaluation</w:t>
      </w:r>
    </w:p>
    <w:p w:rsidR="001A1FED" w:rsidRDefault="001A1FED" w:rsidP="00706FD0">
      <w:pPr>
        <w:pStyle w:val="Default"/>
      </w:pPr>
    </w:p>
    <w:p w:rsidR="00331F51" w:rsidRDefault="00331F51" w:rsidP="00706FD0">
      <w:pPr>
        <w:pStyle w:val="Default"/>
      </w:pPr>
    </w:p>
    <w:p w:rsidR="00331F51" w:rsidRDefault="00331F51" w:rsidP="00706FD0">
      <w:pPr>
        <w:pStyle w:val="Default"/>
      </w:pPr>
      <w:r>
        <w:t xml:space="preserve">Condition d’occupation du terrain </w:t>
      </w:r>
    </w:p>
    <w:p w:rsidR="00331F51" w:rsidRDefault="00331F51" w:rsidP="00706FD0">
      <w:pPr>
        <w:pStyle w:val="Default"/>
      </w:pPr>
    </w:p>
    <w:p w:rsidR="00E308CF" w:rsidRDefault="00331F51" w:rsidP="00026C84">
      <w:pPr>
        <w:pStyle w:val="Corpsdetexte"/>
        <w:spacing w:after="60"/>
      </w:pPr>
      <w:r>
        <w:t xml:space="preserve">Le terrain est concerné par une activité en cessation et un projet de réaffectation qui peut être considéré comme raisonnablement abouti dans la mesure où il sera mené à court terme (le permis sera déposé par Mr </w:t>
      </w:r>
      <w:proofErr w:type="spellStart"/>
      <w:r>
        <w:t>Tartampion</w:t>
      </w:r>
      <w:proofErr w:type="spellEnd"/>
      <w:r>
        <w:t xml:space="preserve"> dès approbation de l’étude de caractérisation – engagement repris en annexe). Les conditions d’occupation du terrain </w:t>
      </w:r>
      <w:r w:rsidR="00DB0488">
        <w:t>s’apparentent dès lors au cas de « friche avec un projet raisonnablement abouti   (FAP).</w:t>
      </w:r>
    </w:p>
    <w:p w:rsidR="00E308CF" w:rsidRDefault="00DB0488" w:rsidP="00026C84">
      <w:pPr>
        <w:pStyle w:val="Corpsdetexte"/>
        <w:spacing w:after="60"/>
      </w:pPr>
      <w:r>
        <w:t xml:space="preserve">Conformément au tableau 1 du GRER-partie A, 3 bases d’évaluation </w:t>
      </w:r>
      <w:r w:rsidR="00FF5C32">
        <w:t>sont</w:t>
      </w:r>
      <w:r>
        <w:t xml:space="preserve"> considérées :</w:t>
      </w:r>
    </w:p>
    <w:p w:rsidR="00E308CF" w:rsidRDefault="00DB0488" w:rsidP="00026C84">
      <w:pPr>
        <w:pStyle w:val="Corpsdetexte"/>
        <w:numPr>
          <w:ilvl w:val="0"/>
          <w:numId w:val="53"/>
        </w:numPr>
        <w:spacing w:after="60"/>
      </w:pPr>
      <w:r>
        <w:t>Base projetée pour définir la nécessité d’assainissement (</w:t>
      </w:r>
      <w:proofErr w:type="spellStart"/>
      <w:r>
        <w:t>ccl</w:t>
      </w:r>
      <w:proofErr w:type="spellEnd"/>
      <w:r>
        <w:t xml:space="preserve"> opérationnelle)</w:t>
      </w:r>
    </w:p>
    <w:p w:rsidR="00E308CF" w:rsidRDefault="00DB0488" w:rsidP="00026C84">
      <w:pPr>
        <w:pStyle w:val="Corpsdetexte"/>
        <w:numPr>
          <w:ilvl w:val="0"/>
          <w:numId w:val="53"/>
        </w:numPr>
        <w:spacing w:after="60"/>
      </w:pPr>
      <w:r>
        <w:t>Base actuelle pour définir l’urgence, en cas de nécessité d’assainissement (</w:t>
      </w:r>
      <w:proofErr w:type="spellStart"/>
      <w:r>
        <w:t>ccl</w:t>
      </w:r>
      <w:proofErr w:type="spellEnd"/>
      <w:r>
        <w:t xml:space="preserve"> opérationnelle)</w:t>
      </w:r>
    </w:p>
    <w:p w:rsidR="00E308CF" w:rsidRDefault="00DB0488" w:rsidP="00026C84">
      <w:pPr>
        <w:pStyle w:val="Corpsdetexte"/>
        <w:numPr>
          <w:ilvl w:val="0"/>
          <w:numId w:val="53"/>
        </w:numPr>
        <w:spacing w:after="60"/>
      </w:pPr>
      <w:r>
        <w:t>Base générique pour définir les restrictions de types d’usage (conclusion additionnelle</w:t>
      </w:r>
      <w:r w:rsidR="00617693">
        <w:t>)</w:t>
      </w:r>
    </w:p>
    <w:p w:rsidR="00A353E8" w:rsidRDefault="00A353E8">
      <w:pPr>
        <w:spacing w:after="0"/>
        <w:jc w:val="left"/>
        <w:rPr>
          <w:rFonts w:cs="Arial"/>
          <w:color w:val="000000"/>
          <w:spacing w:val="0"/>
          <w:sz w:val="24"/>
          <w:szCs w:val="24"/>
          <w:lang w:eastAsia="fr-BE"/>
        </w:rPr>
      </w:pPr>
      <w:r>
        <w:br w:type="page"/>
      </w:r>
    </w:p>
    <w:p w:rsidR="00026C84" w:rsidRDefault="00026C84" w:rsidP="00706FD0">
      <w:pPr>
        <w:pStyle w:val="Default"/>
      </w:pPr>
    </w:p>
    <w:tbl>
      <w:tblPr>
        <w:tblW w:w="73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0"/>
        <w:gridCol w:w="4111"/>
      </w:tblGrid>
      <w:tr w:rsidR="00BE08DE" w:rsidRPr="00917418" w:rsidTr="00804C77">
        <w:trPr>
          <w:trHeight w:val="1143"/>
          <w:jc w:val="center"/>
        </w:trPr>
        <w:tc>
          <w:tcPr>
            <w:tcW w:w="3270" w:type="dxa"/>
            <w:shd w:val="clear" w:color="auto" w:fill="548DD4"/>
            <w:vAlign w:val="center"/>
          </w:tcPr>
          <w:p w:rsidR="00BE08DE" w:rsidRPr="006259BE" w:rsidRDefault="00BE08DE" w:rsidP="00BE08DE">
            <w:pPr>
              <w:spacing w:after="0"/>
              <w:jc w:val="center"/>
              <w:rPr>
                <w:sz w:val="18"/>
                <w:szCs w:val="18"/>
              </w:rPr>
            </w:pPr>
            <w:r>
              <w:rPr>
                <w:sz w:val="18"/>
                <w:szCs w:val="18"/>
              </w:rPr>
              <w:t>OCCUPATION</w:t>
            </w:r>
            <w:r w:rsidRPr="006259BE">
              <w:rPr>
                <w:sz w:val="18"/>
                <w:szCs w:val="18"/>
              </w:rPr>
              <w:t xml:space="preserve"> DU TERRAIN</w:t>
            </w:r>
          </w:p>
        </w:tc>
        <w:tc>
          <w:tcPr>
            <w:tcW w:w="4111" w:type="dxa"/>
            <w:shd w:val="clear" w:color="auto" w:fill="548DD4"/>
            <w:vAlign w:val="center"/>
          </w:tcPr>
          <w:p w:rsidR="00BE08DE" w:rsidRDefault="00BE08DE" w:rsidP="00BE08DE">
            <w:pPr>
              <w:spacing w:after="0"/>
              <w:jc w:val="center"/>
              <w:rPr>
                <w:sz w:val="18"/>
                <w:szCs w:val="18"/>
              </w:rPr>
            </w:pPr>
            <w:r w:rsidRPr="006259BE">
              <w:rPr>
                <w:sz w:val="18"/>
                <w:szCs w:val="18"/>
              </w:rPr>
              <w:t>friche / terrain vague avec projet de réaffectation raisonnablement abouti</w:t>
            </w:r>
          </w:p>
          <w:p w:rsidR="00BE08DE" w:rsidRDefault="00BE08DE" w:rsidP="00BE08DE">
            <w:pPr>
              <w:spacing w:after="0"/>
              <w:jc w:val="center"/>
              <w:rPr>
                <w:b/>
                <w:sz w:val="18"/>
                <w:szCs w:val="18"/>
              </w:rPr>
            </w:pPr>
          </w:p>
          <w:p w:rsidR="00BE08DE" w:rsidRPr="00917418" w:rsidRDefault="00BE08DE" w:rsidP="00BE08DE">
            <w:pPr>
              <w:spacing w:after="0"/>
              <w:jc w:val="center"/>
              <w:rPr>
                <w:b/>
                <w:sz w:val="18"/>
                <w:szCs w:val="18"/>
              </w:rPr>
            </w:pPr>
            <w:r w:rsidRPr="00714EA5">
              <w:rPr>
                <w:b/>
                <w:sz w:val="18"/>
                <w:szCs w:val="18"/>
              </w:rPr>
              <w:t>FAP</w:t>
            </w:r>
          </w:p>
        </w:tc>
      </w:tr>
      <w:tr w:rsidR="00BE08DE" w:rsidRPr="00B1268B" w:rsidTr="00804C77">
        <w:trPr>
          <w:trHeight w:val="318"/>
          <w:jc w:val="center"/>
        </w:trPr>
        <w:tc>
          <w:tcPr>
            <w:tcW w:w="3270" w:type="dxa"/>
            <w:shd w:val="clear" w:color="auto" w:fill="D9D9D9" w:themeFill="background1" w:themeFillShade="D9"/>
            <w:vAlign w:val="center"/>
          </w:tcPr>
          <w:p w:rsidR="00BE08DE" w:rsidRPr="006259BE" w:rsidRDefault="00BE08DE" w:rsidP="00BE08DE">
            <w:pPr>
              <w:spacing w:before="240"/>
              <w:jc w:val="center"/>
              <w:rPr>
                <w:sz w:val="18"/>
                <w:szCs w:val="18"/>
              </w:rPr>
            </w:pPr>
            <w:r w:rsidRPr="006259BE">
              <w:rPr>
                <w:sz w:val="18"/>
                <w:szCs w:val="18"/>
              </w:rPr>
              <w:t>CONCLUSIONS OPÉRATIONNELLES</w:t>
            </w:r>
          </w:p>
        </w:tc>
        <w:tc>
          <w:tcPr>
            <w:tcW w:w="4111" w:type="dxa"/>
            <w:shd w:val="clear" w:color="auto" w:fill="D9D9D9" w:themeFill="background1" w:themeFillShade="D9"/>
            <w:vAlign w:val="center"/>
          </w:tcPr>
          <w:p w:rsidR="00BE08DE" w:rsidRPr="00B1268B" w:rsidRDefault="00BE08DE" w:rsidP="00BE08DE">
            <w:pPr>
              <w:jc w:val="center"/>
            </w:pPr>
          </w:p>
        </w:tc>
      </w:tr>
      <w:tr w:rsidR="00BE08DE" w:rsidRPr="00B1268B" w:rsidTr="00804C77">
        <w:trPr>
          <w:trHeight w:val="329"/>
          <w:jc w:val="center"/>
        </w:trPr>
        <w:tc>
          <w:tcPr>
            <w:tcW w:w="3270" w:type="dxa"/>
            <w:vAlign w:val="center"/>
          </w:tcPr>
          <w:p w:rsidR="00BE08DE" w:rsidRPr="00B1268B" w:rsidRDefault="00BE08DE" w:rsidP="00BE08DE">
            <w:pPr>
              <w:spacing w:after="0"/>
              <w:jc w:val="center"/>
            </w:pPr>
            <w:r>
              <w:t>N</w:t>
            </w:r>
            <w:r w:rsidRPr="00B1268B">
              <w:t>écessité d’assainissement</w:t>
            </w:r>
          </w:p>
        </w:tc>
        <w:tc>
          <w:tcPr>
            <w:tcW w:w="4111" w:type="dxa"/>
            <w:vAlign w:val="center"/>
          </w:tcPr>
          <w:p w:rsidR="00BE08DE" w:rsidRPr="00B1268B" w:rsidRDefault="00BE08DE" w:rsidP="00BE08DE">
            <w:pPr>
              <w:jc w:val="center"/>
            </w:pPr>
            <w:r w:rsidRPr="00B1268B">
              <w:t>Projeté</w:t>
            </w:r>
            <w:r>
              <w:t>e</w:t>
            </w:r>
          </w:p>
        </w:tc>
      </w:tr>
      <w:tr w:rsidR="00BE08DE" w:rsidRPr="00B1268B" w:rsidTr="00804C77">
        <w:trPr>
          <w:trHeight w:val="365"/>
          <w:jc w:val="center"/>
        </w:trPr>
        <w:tc>
          <w:tcPr>
            <w:tcW w:w="3270" w:type="dxa"/>
            <w:vAlign w:val="center"/>
          </w:tcPr>
          <w:p w:rsidR="00BE08DE" w:rsidRPr="00B1268B" w:rsidRDefault="00BE08DE" w:rsidP="00BE08DE">
            <w:pPr>
              <w:spacing w:after="0"/>
              <w:jc w:val="center"/>
            </w:pPr>
            <w:r>
              <w:t>U</w:t>
            </w:r>
            <w:r w:rsidRPr="00B1268B">
              <w:t>rgence d’assainissement</w:t>
            </w:r>
          </w:p>
        </w:tc>
        <w:tc>
          <w:tcPr>
            <w:tcW w:w="4111" w:type="dxa"/>
            <w:vAlign w:val="center"/>
          </w:tcPr>
          <w:p w:rsidR="00BE08DE" w:rsidRPr="00B1268B" w:rsidRDefault="00BE08DE" w:rsidP="00BE08DE">
            <w:pPr>
              <w:jc w:val="center"/>
            </w:pPr>
            <w:r w:rsidRPr="00B1268B">
              <w:t xml:space="preserve">Actuelle </w:t>
            </w:r>
          </w:p>
        </w:tc>
      </w:tr>
      <w:tr w:rsidR="00BE08DE" w:rsidRPr="00B1268B" w:rsidTr="00804C77">
        <w:trPr>
          <w:trHeight w:val="663"/>
          <w:jc w:val="center"/>
        </w:trPr>
        <w:tc>
          <w:tcPr>
            <w:tcW w:w="3270" w:type="dxa"/>
            <w:tcBorders>
              <w:bottom w:val="single" w:sz="4" w:space="0" w:color="auto"/>
            </w:tcBorders>
            <w:shd w:val="clear" w:color="auto" w:fill="D9D9D9" w:themeFill="background1" w:themeFillShade="D9"/>
            <w:vAlign w:val="center"/>
          </w:tcPr>
          <w:p w:rsidR="00BE08DE" w:rsidRPr="006259BE" w:rsidRDefault="00BE08DE" w:rsidP="00BE08DE">
            <w:pPr>
              <w:spacing w:before="240"/>
              <w:jc w:val="center"/>
              <w:rPr>
                <w:sz w:val="18"/>
                <w:szCs w:val="18"/>
              </w:rPr>
            </w:pPr>
            <w:r w:rsidRPr="006259BE">
              <w:rPr>
                <w:sz w:val="18"/>
                <w:szCs w:val="18"/>
              </w:rPr>
              <w:t>CONCLUSIONS ADDITIONNELLES</w:t>
            </w:r>
          </w:p>
        </w:tc>
        <w:tc>
          <w:tcPr>
            <w:tcW w:w="4111" w:type="dxa"/>
            <w:tcBorders>
              <w:bottom w:val="single" w:sz="4" w:space="0" w:color="auto"/>
            </w:tcBorders>
            <w:shd w:val="clear" w:color="auto" w:fill="D9D9D9" w:themeFill="background1" w:themeFillShade="D9"/>
            <w:vAlign w:val="center"/>
          </w:tcPr>
          <w:p w:rsidR="00BE08DE" w:rsidRPr="00B1268B" w:rsidRDefault="00BE08DE" w:rsidP="00BE08DE">
            <w:pPr>
              <w:jc w:val="center"/>
            </w:pPr>
          </w:p>
        </w:tc>
      </w:tr>
      <w:tr w:rsidR="00BE08DE" w:rsidRPr="00B1268B" w:rsidTr="00804C77">
        <w:trPr>
          <w:trHeight w:val="592"/>
          <w:jc w:val="center"/>
        </w:trPr>
        <w:tc>
          <w:tcPr>
            <w:tcW w:w="3270" w:type="dxa"/>
            <w:tcBorders>
              <w:bottom w:val="single" w:sz="4" w:space="0" w:color="auto"/>
            </w:tcBorders>
            <w:vAlign w:val="center"/>
          </w:tcPr>
          <w:p w:rsidR="00BE08DE" w:rsidRPr="00B1268B" w:rsidRDefault="00BE08DE" w:rsidP="00BE08DE">
            <w:pPr>
              <w:spacing w:after="0"/>
              <w:jc w:val="center"/>
            </w:pPr>
            <w:r>
              <w:t>R</w:t>
            </w:r>
            <w:r w:rsidRPr="00B1268B">
              <w:t>estriction de types d’usage</w:t>
            </w:r>
          </w:p>
        </w:tc>
        <w:tc>
          <w:tcPr>
            <w:tcW w:w="4111" w:type="dxa"/>
            <w:tcBorders>
              <w:bottom w:val="single" w:sz="4" w:space="0" w:color="auto"/>
            </w:tcBorders>
            <w:vAlign w:val="center"/>
          </w:tcPr>
          <w:p w:rsidR="00BE08DE" w:rsidRPr="00B1268B" w:rsidRDefault="00BE08DE" w:rsidP="00BE08DE">
            <w:pPr>
              <w:spacing w:after="0"/>
              <w:jc w:val="center"/>
            </w:pPr>
            <w:r w:rsidRPr="00B1268B">
              <w:t>G</w:t>
            </w:r>
            <w:r>
              <w:t>é</w:t>
            </w:r>
            <w:r w:rsidRPr="00B1268B">
              <w:t>n</w:t>
            </w:r>
            <w:r>
              <w:t>é</w:t>
            </w:r>
            <w:r w:rsidRPr="00B1268B">
              <w:t>rique</w:t>
            </w:r>
          </w:p>
        </w:tc>
      </w:tr>
      <w:tr w:rsidR="00BE08DE" w:rsidRPr="00B1268B" w:rsidTr="00804C77">
        <w:trPr>
          <w:trHeight w:val="605"/>
          <w:jc w:val="center"/>
        </w:trPr>
        <w:tc>
          <w:tcPr>
            <w:tcW w:w="3270" w:type="dxa"/>
            <w:tcBorders>
              <w:bottom w:val="single" w:sz="4" w:space="0" w:color="auto"/>
            </w:tcBorders>
            <w:vAlign w:val="center"/>
          </w:tcPr>
          <w:p w:rsidR="00BE08DE" w:rsidRPr="00B1268B" w:rsidRDefault="00BE08DE" w:rsidP="00BE08DE">
            <w:pPr>
              <w:spacing w:after="0"/>
              <w:jc w:val="center"/>
            </w:pPr>
            <w:r>
              <w:t>R</w:t>
            </w:r>
            <w:r w:rsidRPr="00B1268B">
              <w:t>estriction d’utilisation</w:t>
            </w:r>
          </w:p>
        </w:tc>
        <w:tc>
          <w:tcPr>
            <w:tcW w:w="4111" w:type="dxa"/>
            <w:tcBorders>
              <w:bottom w:val="single" w:sz="4" w:space="0" w:color="auto"/>
            </w:tcBorders>
            <w:vAlign w:val="center"/>
          </w:tcPr>
          <w:p w:rsidR="00BE08DE" w:rsidRPr="00B1268B" w:rsidRDefault="00BE08DE" w:rsidP="00BE08DE">
            <w:pPr>
              <w:spacing w:after="0"/>
              <w:jc w:val="center"/>
            </w:pPr>
            <w:r w:rsidRPr="00B1268B">
              <w:t>/</w:t>
            </w:r>
          </w:p>
        </w:tc>
      </w:tr>
    </w:tbl>
    <w:p w:rsidR="00331F51" w:rsidRPr="00310561" w:rsidRDefault="00310561" w:rsidP="00310561">
      <w:pPr>
        <w:pStyle w:val="Corpsdetexte"/>
        <w:spacing w:after="60"/>
        <w:ind w:left="284"/>
        <w:rPr>
          <w:i/>
          <w:iCs/>
        </w:rPr>
      </w:pPr>
      <w:r w:rsidRPr="00310561">
        <w:rPr>
          <w:i/>
          <w:iCs/>
        </w:rPr>
        <w:t>Tableau 2b : occupation du terrain</w:t>
      </w:r>
    </w:p>
    <w:p w:rsidR="00BE08DE" w:rsidRDefault="00BE08DE" w:rsidP="00706FD0">
      <w:pPr>
        <w:pStyle w:val="Default"/>
      </w:pPr>
    </w:p>
    <w:p w:rsidR="00BE08DE" w:rsidRDefault="00BE08DE" w:rsidP="00BE08DE">
      <w:pPr>
        <w:pStyle w:val="Corpsdetexte"/>
        <w:spacing w:after="60"/>
      </w:pPr>
      <w:r>
        <w:t xml:space="preserve">(+ </w:t>
      </w:r>
      <w:proofErr w:type="gramStart"/>
      <w:r>
        <w:t>se</w:t>
      </w:r>
      <w:proofErr w:type="gramEnd"/>
      <w:r>
        <w:t xml:space="preserve"> poser la question si on a bien toutes les bases d’évaluation utiles et fonction du cas: ici spécifiquement, si on a un laps de temps entre la cessation d’activité et la mise en œuvre du projet, un usage de type IV récréatif pourrait être utile à envisager pour prendre l</w:t>
      </w:r>
      <w:r w:rsidR="00A60BB1">
        <w:t>e</w:t>
      </w:r>
      <w:r>
        <w:t>s mesures de sécurité utiles avant assainissement par rapport à la fréquentation de la friche par des enfants…)</w:t>
      </w:r>
    </w:p>
    <w:p w:rsidR="00BE08DE" w:rsidRDefault="00BE08DE" w:rsidP="00706FD0">
      <w:pPr>
        <w:pStyle w:val="Default"/>
      </w:pPr>
    </w:p>
    <w:p w:rsidR="001A1FED" w:rsidRDefault="001A1FED" w:rsidP="00706FD0">
      <w:pPr>
        <w:pStyle w:val="Default"/>
      </w:pPr>
      <w:r>
        <w:t>Base d’évaluation générique</w:t>
      </w:r>
    </w:p>
    <w:p w:rsidR="001A1FED" w:rsidRDefault="001A1FED" w:rsidP="00706FD0">
      <w:pPr>
        <w:pStyle w:val="Default"/>
      </w:pPr>
    </w:p>
    <w:p w:rsidR="008473FA" w:rsidRDefault="008473FA" w:rsidP="00150011">
      <w:pPr>
        <w:pStyle w:val="Corpsdetexte"/>
        <w:spacing w:after="60"/>
      </w:pPr>
      <w:r>
        <w:t>Étant donné que le plan de secteur indique que le terrain se situe en zone agricole, le scénario standard agricol</w:t>
      </w:r>
      <w:r w:rsidR="00D17267">
        <w:t>e</w:t>
      </w:r>
      <w:r>
        <w:t xml:space="preserve"> est retenu pour cette base d’évaluation.</w:t>
      </w:r>
      <w:r w:rsidR="00813C2C">
        <w:t xml:space="preserve"> </w:t>
      </w:r>
    </w:p>
    <w:p w:rsidR="001A1FED" w:rsidRDefault="001A1FED" w:rsidP="00706FD0">
      <w:pPr>
        <w:pStyle w:val="Default"/>
      </w:pPr>
    </w:p>
    <w:p w:rsidR="001A1FED" w:rsidRDefault="001A1FED" w:rsidP="00706FD0">
      <w:pPr>
        <w:pStyle w:val="Default"/>
      </w:pPr>
      <w:r>
        <w:t>Base d’évaluation actuelle</w:t>
      </w:r>
      <w:r w:rsidR="000C1C9F">
        <w:rPr>
          <w:rStyle w:val="Appelnotedebasdep"/>
        </w:rPr>
        <w:footnoteReference w:id="2"/>
      </w:r>
    </w:p>
    <w:p w:rsidR="00D17267" w:rsidRDefault="00D17267" w:rsidP="00706FD0">
      <w:pPr>
        <w:pStyle w:val="Default"/>
      </w:pPr>
    </w:p>
    <w:p w:rsidR="00D17267" w:rsidRDefault="00D17267" w:rsidP="00150011">
      <w:pPr>
        <w:pStyle w:val="Corpsdetexte"/>
        <w:spacing w:after="60"/>
      </w:pPr>
      <w:r>
        <w:t xml:space="preserve">L’usage actuel étant une </w:t>
      </w:r>
      <w:r w:rsidR="00FF5C32">
        <w:t>station-</w:t>
      </w:r>
      <w:r>
        <w:t xml:space="preserve">service, le terrain est donc considéré comme ayant un usage </w:t>
      </w:r>
      <w:r w:rsidR="00FF5C32">
        <w:t>de type V -</w:t>
      </w:r>
      <w:r>
        <w:t>industriel comme précisé dans l’annexe II du décret sol</w:t>
      </w:r>
      <w:r w:rsidR="00FF5C32">
        <w:t>s</w:t>
      </w:r>
      <w:r>
        <w:t>. Le scénario standard industriel est retenu pour cette base d’évaluation.</w:t>
      </w:r>
      <w:r w:rsidR="00B86C24">
        <w:t xml:space="preserve"> </w:t>
      </w:r>
    </w:p>
    <w:p w:rsidR="001A1FED" w:rsidRDefault="001A1FED" w:rsidP="00706FD0">
      <w:pPr>
        <w:pStyle w:val="Default"/>
      </w:pPr>
    </w:p>
    <w:p w:rsidR="001A1FED" w:rsidRDefault="001A1FED" w:rsidP="00706FD0">
      <w:pPr>
        <w:pStyle w:val="Default"/>
      </w:pPr>
      <w:r>
        <w:t>Base d’évaluation projetée</w:t>
      </w:r>
    </w:p>
    <w:p w:rsidR="00D17267" w:rsidRDefault="00D17267" w:rsidP="00706FD0">
      <w:pPr>
        <w:pStyle w:val="Default"/>
      </w:pPr>
    </w:p>
    <w:p w:rsidR="00164E87" w:rsidRDefault="00D17267" w:rsidP="00150011">
      <w:pPr>
        <w:pStyle w:val="Corpsdetexte"/>
        <w:spacing w:after="60"/>
      </w:pPr>
      <w:r>
        <w:t>L’usage projeté de la parcelle étant une habitation, un usage de type résidentiel</w:t>
      </w:r>
      <w:r w:rsidR="00FF5C32">
        <w:t xml:space="preserve"> est retenu</w:t>
      </w:r>
      <w:r>
        <w:t>. Dans un premier temps, le scénario standard</w:t>
      </w:r>
      <w:r w:rsidR="00150011" w:rsidRPr="00150011">
        <w:t xml:space="preserve"> </w:t>
      </w:r>
      <w:r w:rsidR="00164E87">
        <w:t xml:space="preserve">a été </w:t>
      </w:r>
      <w:r w:rsidR="00150011">
        <w:t xml:space="preserve">retenu pour cette base d’évaluation. </w:t>
      </w:r>
    </w:p>
    <w:p w:rsidR="00D17267" w:rsidRDefault="00C1598E" w:rsidP="00150011">
      <w:pPr>
        <w:pStyle w:val="Corpsdetexte"/>
        <w:spacing w:after="60"/>
      </w:pPr>
      <w:r>
        <w:t xml:space="preserve">Par la suite, différents scénario ont été envisagés en tenant compte des caractéristiques du terrain et du projet d’aménagement : pas de jardins et  </w:t>
      </w:r>
      <w:r w:rsidR="00164E87">
        <w:t xml:space="preserve">présence d’une dalle de béton </w:t>
      </w:r>
      <w:r>
        <w:t>qui peut</w:t>
      </w:r>
      <w:r w:rsidR="00164E87">
        <w:t xml:space="preserve"> </w:t>
      </w:r>
      <w:r>
        <w:t>être</w:t>
      </w:r>
      <w:r w:rsidR="00164E87">
        <w:t xml:space="preserve"> maintenue dans le cadre du projet d</w:t>
      </w:r>
      <w:r>
        <w:t>’aménagement.</w:t>
      </w:r>
      <w:r w:rsidDel="00164E87">
        <w:t xml:space="preserve"> </w:t>
      </w:r>
      <w:r w:rsidR="000B565D">
        <w:t>.</w:t>
      </w:r>
      <w:r w:rsidR="00150011">
        <w:t xml:space="preserve">. </w:t>
      </w:r>
    </w:p>
    <w:p w:rsidR="001A1FED" w:rsidRDefault="001A1FED" w:rsidP="00706FD0">
      <w:pPr>
        <w:pStyle w:val="Default"/>
      </w:pPr>
    </w:p>
    <w:p w:rsidR="005A0BE4" w:rsidRDefault="005A0BE4" w:rsidP="005A0BE4">
      <w:pPr>
        <w:pStyle w:val="Corpsdetexte"/>
        <w:spacing w:after="60"/>
      </w:pPr>
      <w:r>
        <w:t xml:space="preserve">Le tableau 3 présente les bases d’évaluations retenues pour la </w:t>
      </w:r>
      <w:r w:rsidR="005A0C68">
        <w:t>présente</w:t>
      </w:r>
      <w:r>
        <w:t xml:space="preserve"> étude de risque</w:t>
      </w:r>
      <w:r w:rsidR="007D6018">
        <w:t>s</w:t>
      </w:r>
      <w:r>
        <w:t>.</w:t>
      </w:r>
    </w:p>
    <w:p w:rsidR="00310561" w:rsidRDefault="00310561" w:rsidP="005A0BE4">
      <w:pPr>
        <w:pStyle w:val="Corpsdetexte"/>
        <w:spacing w:after="60"/>
      </w:pPr>
    </w:p>
    <w:p w:rsidR="005A0BE4" w:rsidRDefault="005A0BE4" w:rsidP="00A11C08">
      <w:pPr>
        <w:pStyle w:val="Corpsdetexte"/>
        <w:spacing w:after="60"/>
        <w:ind w:left="28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0"/>
        <w:gridCol w:w="1190"/>
        <w:gridCol w:w="1190"/>
        <w:gridCol w:w="1190"/>
        <w:gridCol w:w="1316"/>
      </w:tblGrid>
      <w:tr w:rsidR="00246F9C" w:rsidRPr="001E3A64" w:rsidTr="009C2292">
        <w:trPr>
          <w:trHeight w:val="644"/>
          <w:jc w:val="center"/>
        </w:trPr>
        <w:tc>
          <w:tcPr>
            <w:tcW w:w="1740" w:type="dxa"/>
            <w:vAlign w:val="center"/>
          </w:tcPr>
          <w:p w:rsidR="00246F9C" w:rsidRPr="001E3A64" w:rsidRDefault="00246F9C" w:rsidP="009C2292">
            <w:pPr>
              <w:jc w:val="center"/>
              <w:rPr>
                <w:sz w:val="16"/>
                <w:szCs w:val="16"/>
              </w:rPr>
            </w:pPr>
            <w:r w:rsidRPr="001E3A64">
              <w:rPr>
                <w:sz w:val="16"/>
                <w:szCs w:val="16"/>
              </w:rPr>
              <w:lastRenderedPageBreak/>
              <w:t>Parcelles</w:t>
            </w:r>
            <w:r>
              <w:rPr>
                <w:sz w:val="16"/>
                <w:szCs w:val="16"/>
              </w:rPr>
              <w:t>/zone de pollution</w:t>
            </w:r>
          </w:p>
        </w:tc>
        <w:tc>
          <w:tcPr>
            <w:tcW w:w="1177" w:type="dxa"/>
            <w:vAlign w:val="bottom"/>
          </w:tcPr>
          <w:p w:rsidR="00246F9C" w:rsidRPr="001E3A64" w:rsidRDefault="00246F9C" w:rsidP="009C2292">
            <w:pPr>
              <w:jc w:val="center"/>
              <w:rPr>
                <w:sz w:val="16"/>
                <w:szCs w:val="16"/>
              </w:rPr>
            </w:pPr>
            <w:r w:rsidRPr="001E3A64">
              <w:rPr>
                <w:sz w:val="16"/>
                <w:szCs w:val="16"/>
              </w:rPr>
              <w:t>Situation de droit</w:t>
            </w:r>
            <w:r w:rsidR="00150011">
              <w:rPr>
                <w:sz w:val="16"/>
                <w:szCs w:val="16"/>
              </w:rPr>
              <w:t xml:space="preserve"> / base d’évaluation générique</w:t>
            </w:r>
          </w:p>
        </w:tc>
        <w:tc>
          <w:tcPr>
            <w:tcW w:w="1110" w:type="dxa"/>
            <w:vAlign w:val="bottom"/>
          </w:tcPr>
          <w:p w:rsidR="00246F9C" w:rsidRPr="001E3A64" w:rsidRDefault="00246F9C" w:rsidP="009C2292">
            <w:pPr>
              <w:jc w:val="center"/>
              <w:rPr>
                <w:sz w:val="16"/>
                <w:szCs w:val="16"/>
              </w:rPr>
            </w:pPr>
            <w:r w:rsidRPr="001E3A64">
              <w:rPr>
                <w:sz w:val="16"/>
                <w:szCs w:val="16"/>
              </w:rPr>
              <w:t>Situation de fait actuelle</w:t>
            </w:r>
            <w:r w:rsidR="00150011">
              <w:rPr>
                <w:sz w:val="16"/>
                <w:szCs w:val="16"/>
              </w:rPr>
              <w:t xml:space="preserve"> / base d’évaluation actuelle</w:t>
            </w:r>
          </w:p>
        </w:tc>
        <w:tc>
          <w:tcPr>
            <w:tcW w:w="957" w:type="dxa"/>
            <w:vAlign w:val="bottom"/>
          </w:tcPr>
          <w:p w:rsidR="00246F9C" w:rsidRPr="001E3A64" w:rsidRDefault="00246F9C" w:rsidP="009C2292">
            <w:pPr>
              <w:jc w:val="center"/>
              <w:rPr>
                <w:sz w:val="16"/>
                <w:szCs w:val="16"/>
              </w:rPr>
            </w:pPr>
            <w:r w:rsidRPr="001E3A64">
              <w:rPr>
                <w:sz w:val="16"/>
                <w:szCs w:val="16"/>
              </w:rPr>
              <w:t>Usage projeté</w:t>
            </w:r>
            <w:r w:rsidR="00150011">
              <w:rPr>
                <w:sz w:val="16"/>
                <w:szCs w:val="16"/>
              </w:rPr>
              <w:t xml:space="preserve"> / base d’évaluation projetée</w:t>
            </w:r>
          </w:p>
        </w:tc>
        <w:tc>
          <w:tcPr>
            <w:tcW w:w="1316" w:type="dxa"/>
            <w:vAlign w:val="bottom"/>
          </w:tcPr>
          <w:p w:rsidR="00246F9C" w:rsidRPr="001E3A64" w:rsidRDefault="00246F9C" w:rsidP="009C2292">
            <w:pPr>
              <w:jc w:val="center"/>
              <w:rPr>
                <w:sz w:val="16"/>
                <w:szCs w:val="16"/>
              </w:rPr>
            </w:pPr>
            <w:r w:rsidRPr="001E3A64">
              <w:rPr>
                <w:sz w:val="16"/>
                <w:szCs w:val="16"/>
              </w:rPr>
              <w:t>Zone particulière</w:t>
            </w:r>
          </w:p>
        </w:tc>
      </w:tr>
      <w:tr w:rsidR="00246F9C" w:rsidRPr="001E3A64" w:rsidTr="009C2292">
        <w:trPr>
          <w:trHeight w:val="402"/>
          <w:jc w:val="center"/>
        </w:trPr>
        <w:tc>
          <w:tcPr>
            <w:tcW w:w="1740" w:type="dxa"/>
            <w:vAlign w:val="center"/>
          </w:tcPr>
          <w:p w:rsidR="00246F9C" w:rsidRPr="001E3A64" w:rsidRDefault="00246F9C" w:rsidP="009C2292">
            <w:pPr>
              <w:spacing w:after="0"/>
              <w:jc w:val="center"/>
              <w:rPr>
                <w:sz w:val="16"/>
                <w:szCs w:val="16"/>
              </w:rPr>
            </w:pPr>
            <w:r>
              <w:rPr>
                <w:sz w:val="16"/>
                <w:szCs w:val="16"/>
              </w:rPr>
              <w:t>Remblais</w:t>
            </w:r>
          </w:p>
        </w:tc>
        <w:tc>
          <w:tcPr>
            <w:tcW w:w="1177" w:type="dxa"/>
            <w:vAlign w:val="center"/>
          </w:tcPr>
          <w:p w:rsidR="00246F9C" w:rsidRPr="001E3A64" w:rsidRDefault="00246F9C" w:rsidP="009C2292">
            <w:pPr>
              <w:spacing w:after="0"/>
              <w:jc w:val="center"/>
              <w:rPr>
                <w:sz w:val="16"/>
                <w:szCs w:val="16"/>
              </w:rPr>
            </w:pPr>
            <w:r>
              <w:rPr>
                <w:sz w:val="16"/>
                <w:szCs w:val="16"/>
              </w:rPr>
              <w:t>II</w:t>
            </w:r>
          </w:p>
        </w:tc>
        <w:tc>
          <w:tcPr>
            <w:tcW w:w="1110" w:type="dxa"/>
            <w:vAlign w:val="center"/>
          </w:tcPr>
          <w:p w:rsidR="00246F9C" w:rsidRPr="001E3A64" w:rsidRDefault="00246F9C" w:rsidP="009C2292">
            <w:pPr>
              <w:spacing w:after="0"/>
              <w:jc w:val="center"/>
              <w:rPr>
                <w:sz w:val="16"/>
                <w:szCs w:val="16"/>
              </w:rPr>
            </w:pPr>
            <w:r>
              <w:rPr>
                <w:sz w:val="16"/>
                <w:szCs w:val="16"/>
              </w:rPr>
              <w:t>V</w:t>
            </w:r>
          </w:p>
        </w:tc>
        <w:tc>
          <w:tcPr>
            <w:tcW w:w="957" w:type="dxa"/>
            <w:vAlign w:val="center"/>
          </w:tcPr>
          <w:p w:rsidR="00246F9C" w:rsidRPr="001E3A64" w:rsidRDefault="00246F9C" w:rsidP="009C2292">
            <w:pPr>
              <w:spacing w:after="0"/>
              <w:jc w:val="center"/>
              <w:rPr>
                <w:sz w:val="16"/>
                <w:szCs w:val="16"/>
              </w:rPr>
            </w:pPr>
            <w:r>
              <w:rPr>
                <w:sz w:val="16"/>
                <w:szCs w:val="16"/>
              </w:rPr>
              <w:t>III</w:t>
            </w:r>
          </w:p>
        </w:tc>
        <w:tc>
          <w:tcPr>
            <w:tcW w:w="1316" w:type="dxa"/>
            <w:vAlign w:val="center"/>
          </w:tcPr>
          <w:p w:rsidR="00246F9C" w:rsidRPr="001E3A64" w:rsidRDefault="0082099C" w:rsidP="009C2292">
            <w:pPr>
              <w:spacing w:after="0"/>
              <w:jc w:val="center"/>
              <w:rPr>
                <w:sz w:val="16"/>
                <w:szCs w:val="16"/>
              </w:rPr>
            </w:pPr>
            <w:r>
              <w:rPr>
                <w:sz w:val="16"/>
                <w:szCs w:val="16"/>
              </w:rPr>
              <w:t>N/A</w:t>
            </w:r>
          </w:p>
        </w:tc>
      </w:tr>
      <w:tr w:rsidR="00246F9C" w:rsidRPr="001E3A64" w:rsidTr="009C2292">
        <w:trPr>
          <w:trHeight w:val="402"/>
          <w:jc w:val="center"/>
        </w:trPr>
        <w:tc>
          <w:tcPr>
            <w:tcW w:w="1740" w:type="dxa"/>
            <w:vAlign w:val="center"/>
          </w:tcPr>
          <w:p w:rsidR="00246F9C" w:rsidRPr="001E3A64" w:rsidRDefault="00246F9C" w:rsidP="009C2292">
            <w:pPr>
              <w:spacing w:after="0"/>
              <w:jc w:val="center"/>
              <w:rPr>
                <w:sz w:val="16"/>
                <w:szCs w:val="16"/>
              </w:rPr>
            </w:pPr>
            <w:r>
              <w:rPr>
                <w:sz w:val="16"/>
                <w:szCs w:val="16"/>
              </w:rPr>
              <w:t>Tache en hydrocarbures pétrolier</w:t>
            </w:r>
          </w:p>
        </w:tc>
        <w:tc>
          <w:tcPr>
            <w:tcW w:w="1177" w:type="dxa"/>
            <w:vAlign w:val="center"/>
          </w:tcPr>
          <w:p w:rsidR="00246F9C" w:rsidRPr="001E3A64" w:rsidRDefault="00246F9C" w:rsidP="009C2292">
            <w:pPr>
              <w:spacing w:after="0"/>
              <w:jc w:val="center"/>
              <w:rPr>
                <w:sz w:val="16"/>
                <w:szCs w:val="16"/>
              </w:rPr>
            </w:pPr>
            <w:r>
              <w:rPr>
                <w:sz w:val="16"/>
                <w:szCs w:val="16"/>
              </w:rPr>
              <w:t>II</w:t>
            </w:r>
          </w:p>
        </w:tc>
        <w:tc>
          <w:tcPr>
            <w:tcW w:w="1110" w:type="dxa"/>
            <w:vAlign w:val="center"/>
          </w:tcPr>
          <w:p w:rsidR="00246F9C" w:rsidRPr="001E3A64" w:rsidRDefault="00246F9C" w:rsidP="009C2292">
            <w:pPr>
              <w:spacing w:after="0"/>
              <w:jc w:val="center"/>
              <w:rPr>
                <w:sz w:val="16"/>
                <w:szCs w:val="16"/>
              </w:rPr>
            </w:pPr>
            <w:r>
              <w:rPr>
                <w:sz w:val="16"/>
                <w:szCs w:val="16"/>
              </w:rPr>
              <w:t>V</w:t>
            </w:r>
          </w:p>
        </w:tc>
        <w:tc>
          <w:tcPr>
            <w:tcW w:w="957" w:type="dxa"/>
            <w:vAlign w:val="center"/>
          </w:tcPr>
          <w:p w:rsidR="00246F9C" w:rsidRPr="001E3A64" w:rsidRDefault="00246F9C" w:rsidP="009C2292">
            <w:pPr>
              <w:spacing w:after="0"/>
              <w:jc w:val="center"/>
              <w:rPr>
                <w:sz w:val="16"/>
                <w:szCs w:val="16"/>
              </w:rPr>
            </w:pPr>
            <w:r>
              <w:rPr>
                <w:sz w:val="16"/>
                <w:szCs w:val="16"/>
              </w:rPr>
              <w:t>III</w:t>
            </w:r>
          </w:p>
        </w:tc>
        <w:tc>
          <w:tcPr>
            <w:tcW w:w="1316" w:type="dxa"/>
            <w:vAlign w:val="center"/>
          </w:tcPr>
          <w:p w:rsidR="00246F9C" w:rsidRPr="001E3A64" w:rsidRDefault="0082099C" w:rsidP="009C2292">
            <w:pPr>
              <w:spacing w:after="0"/>
              <w:jc w:val="center"/>
              <w:rPr>
                <w:sz w:val="16"/>
                <w:szCs w:val="16"/>
              </w:rPr>
            </w:pPr>
            <w:r>
              <w:rPr>
                <w:sz w:val="16"/>
                <w:szCs w:val="16"/>
              </w:rPr>
              <w:t>N/A</w:t>
            </w:r>
          </w:p>
        </w:tc>
      </w:tr>
    </w:tbl>
    <w:p w:rsidR="009C2292" w:rsidRDefault="009C2292" w:rsidP="00A11C08">
      <w:pPr>
        <w:pStyle w:val="Corpsdetexte"/>
        <w:spacing w:after="60"/>
        <w:ind w:left="284"/>
      </w:pPr>
    </w:p>
    <w:p w:rsidR="004E1CE9" w:rsidRDefault="004E1CE9" w:rsidP="00A11C08">
      <w:pPr>
        <w:pStyle w:val="Corpsdetexte"/>
        <w:spacing w:after="60"/>
        <w:ind w:left="284"/>
      </w:pPr>
      <w:r w:rsidRPr="001A4310">
        <w:rPr>
          <w:i/>
          <w:iCs/>
        </w:rPr>
        <w:t>Tableau 3: Bases d’évaluation et usages considérés</w:t>
      </w:r>
    </w:p>
    <w:p w:rsidR="0058700E" w:rsidRDefault="0058700E" w:rsidP="00A11C08">
      <w:pPr>
        <w:pStyle w:val="Corpsdetexte"/>
        <w:spacing w:after="60"/>
        <w:ind w:left="284"/>
      </w:pPr>
    </w:p>
    <w:p w:rsidR="00246F9C" w:rsidRDefault="00246F9C" w:rsidP="00246F9C">
      <w:pPr>
        <w:pStyle w:val="Corpsdetexte"/>
        <w:spacing w:after="60"/>
        <w:ind w:left="284"/>
      </w:pPr>
      <w:r>
        <w:t>3</w:t>
      </w:r>
      <w:r w:rsidRPr="00276B5E">
        <w:t>.3 Modèle conceptuel du site</w:t>
      </w:r>
    </w:p>
    <w:p w:rsidR="00FD2CB4" w:rsidRDefault="00FD2CB4" w:rsidP="005A0BE4">
      <w:pPr>
        <w:pStyle w:val="Corpsdetexte"/>
        <w:spacing w:after="60"/>
      </w:pPr>
      <w:r w:rsidRPr="005A0BE4">
        <w:rPr>
          <w:b/>
        </w:rPr>
        <w:t>Source</w:t>
      </w:r>
      <w:r>
        <w:t xml:space="preserve"> : </w:t>
      </w:r>
      <w:r w:rsidR="00246F9C">
        <w:t xml:space="preserve">Remblai pollué en ML et HAP de 0 à 1 m-ns sur l’ensemble du </w:t>
      </w:r>
      <w:r w:rsidR="000B565D">
        <w:t xml:space="preserve">terrain </w:t>
      </w:r>
      <w:r w:rsidR="00246F9C">
        <w:t xml:space="preserve">avec une tache en </w:t>
      </w:r>
      <w:r w:rsidR="004B0EBE">
        <w:t xml:space="preserve">HP </w:t>
      </w:r>
      <w:r w:rsidR="00246F9C">
        <w:t>surimposée.</w:t>
      </w:r>
    </w:p>
    <w:p w:rsidR="00D61A00" w:rsidRDefault="00246F9C" w:rsidP="00BF1AA5">
      <w:pPr>
        <w:pStyle w:val="Corpsdetexte"/>
        <w:spacing w:after="60"/>
      </w:pPr>
      <w:r w:rsidRPr="005A0BE4">
        <w:rPr>
          <w:b/>
        </w:rPr>
        <w:t>Voie de transfert</w:t>
      </w:r>
      <w:r w:rsidR="00FD2CB4">
        <w:t xml:space="preserve"> : </w:t>
      </w:r>
      <w:r w:rsidR="00D76A7E">
        <w:tab/>
      </w:r>
      <w:r w:rsidR="00310561">
        <w:t>Les voies de transfert pris en compte, par base d’évaluation des risque</w:t>
      </w:r>
      <w:r w:rsidR="00D27ADB">
        <w:t>s</w:t>
      </w:r>
      <w:r w:rsidR="00310561">
        <w:t>, sont repris au tableau 3B</w:t>
      </w:r>
    </w:p>
    <w:p w:rsidR="00BF1AA5" w:rsidRDefault="00BF1AA5" w:rsidP="00BF1AA5">
      <w:pPr>
        <w:pStyle w:val="Corpsdetexte"/>
        <w:spacing w:after="60"/>
      </w:pPr>
    </w:p>
    <w:tbl>
      <w:tblPr>
        <w:tblW w:w="10200" w:type="dxa"/>
        <w:tblInd w:w="55" w:type="dxa"/>
        <w:tblCellMar>
          <w:left w:w="70" w:type="dxa"/>
          <w:right w:w="70" w:type="dxa"/>
        </w:tblCellMar>
        <w:tblLook w:val="04A0"/>
      </w:tblPr>
      <w:tblGrid>
        <w:gridCol w:w="4835"/>
        <w:gridCol w:w="1984"/>
        <w:gridCol w:w="1701"/>
        <w:gridCol w:w="1680"/>
      </w:tblGrid>
      <w:tr w:rsidR="00BF1AA5" w:rsidRPr="00BF1AA5" w:rsidTr="00BF1AA5">
        <w:trPr>
          <w:trHeight w:val="915"/>
        </w:trPr>
        <w:tc>
          <w:tcPr>
            <w:tcW w:w="48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sz w:val="22"/>
                <w:szCs w:val="22"/>
                <w:lang w:eastAsia="fr-BE"/>
              </w:rPr>
            </w:pP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BF1AA5" w:rsidRPr="00BF1AA5" w:rsidRDefault="00BF1AA5" w:rsidP="00BF1AA5">
            <w:pPr>
              <w:spacing w:after="0"/>
              <w:jc w:val="center"/>
              <w:rPr>
                <w:rFonts w:ascii="Calibri" w:eastAsia="Times New Roman" w:hAnsi="Calibri"/>
                <w:b/>
                <w:bCs/>
                <w:color w:val="000000"/>
                <w:spacing w:val="0"/>
                <w:sz w:val="22"/>
                <w:szCs w:val="22"/>
                <w:lang w:eastAsia="fr-BE"/>
              </w:rPr>
            </w:pPr>
            <w:r w:rsidRPr="00BF1AA5">
              <w:rPr>
                <w:rFonts w:ascii="Calibri" w:eastAsia="Times New Roman" w:hAnsi="Calibri"/>
                <w:b/>
                <w:bCs/>
                <w:color w:val="000000"/>
                <w:spacing w:val="0"/>
                <w:sz w:val="22"/>
                <w:szCs w:val="22"/>
                <w:lang w:eastAsia="fr-BE"/>
              </w:rPr>
              <w:t>base évaluation générique : agricole</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BF1AA5" w:rsidRPr="00BF1AA5" w:rsidRDefault="00BF1AA5" w:rsidP="00BF1AA5">
            <w:pPr>
              <w:spacing w:after="0"/>
              <w:jc w:val="center"/>
              <w:rPr>
                <w:rFonts w:ascii="Calibri" w:eastAsia="Times New Roman" w:hAnsi="Calibri"/>
                <w:b/>
                <w:bCs/>
                <w:color w:val="000000"/>
                <w:spacing w:val="0"/>
                <w:sz w:val="22"/>
                <w:szCs w:val="22"/>
                <w:lang w:eastAsia="fr-BE"/>
              </w:rPr>
            </w:pPr>
            <w:r w:rsidRPr="00BF1AA5">
              <w:rPr>
                <w:rFonts w:ascii="Calibri" w:eastAsia="Times New Roman" w:hAnsi="Calibri"/>
                <w:b/>
                <w:bCs/>
                <w:color w:val="000000"/>
                <w:spacing w:val="0"/>
                <w:sz w:val="22"/>
                <w:szCs w:val="22"/>
                <w:lang w:eastAsia="fr-BE"/>
              </w:rPr>
              <w:t>base évaluation actuelle : industriel</w:t>
            </w:r>
          </w:p>
        </w:tc>
        <w:tc>
          <w:tcPr>
            <w:tcW w:w="1680" w:type="dxa"/>
            <w:tcBorders>
              <w:top w:val="single" w:sz="8" w:space="0" w:color="auto"/>
              <w:left w:val="nil"/>
              <w:bottom w:val="single" w:sz="4" w:space="0" w:color="auto"/>
              <w:right w:val="single" w:sz="8" w:space="0" w:color="auto"/>
            </w:tcBorders>
            <w:shd w:val="clear" w:color="auto" w:fill="auto"/>
            <w:vAlign w:val="center"/>
            <w:hideMark/>
          </w:tcPr>
          <w:p w:rsidR="00BF1AA5" w:rsidRPr="00BF1AA5" w:rsidRDefault="00BF1AA5" w:rsidP="00BF1AA5">
            <w:pPr>
              <w:spacing w:after="0"/>
              <w:jc w:val="center"/>
              <w:rPr>
                <w:rFonts w:ascii="Calibri" w:eastAsia="Times New Roman" w:hAnsi="Calibri"/>
                <w:b/>
                <w:bCs/>
                <w:color w:val="000000"/>
                <w:spacing w:val="0"/>
                <w:sz w:val="22"/>
                <w:szCs w:val="22"/>
                <w:lang w:eastAsia="fr-BE"/>
              </w:rPr>
            </w:pPr>
            <w:r w:rsidRPr="00BF1AA5">
              <w:rPr>
                <w:rFonts w:ascii="Calibri" w:eastAsia="Times New Roman" w:hAnsi="Calibri"/>
                <w:b/>
                <w:bCs/>
                <w:color w:val="000000"/>
                <w:spacing w:val="0"/>
                <w:sz w:val="22"/>
                <w:szCs w:val="22"/>
                <w:lang w:eastAsia="fr-BE"/>
              </w:rPr>
              <w:t>base évaluation projet : résidentiel</w:t>
            </w:r>
          </w:p>
        </w:tc>
      </w:tr>
      <w:tr w:rsidR="00BF1AA5" w:rsidRPr="00BF1AA5" w:rsidTr="00BF1AA5">
        <w:trPr>
          <w:trHeight w:val="352"/>
        </w:trPr>
        <w:tc>
          <w:tcPr>
            <w:tcW w:w="10200" w:type="dxa"/>
            <w:gridSpan w:val="4"/>
            <w:tcBorders>
              <w:top w:val="nil"/>
              <w:left w:val="single" w:sz="8" w:space="0" w:color="auto"/>
              <w:bottom w:val="single" w:sz="4" w:space="0" w:color="auto"/>
              <w:right w:val="single" w:sz="8" w:space="0" w:color="auto"/>
            </w:tcBorders>
            <w:shd w:val="clear" w:color="auto" w:fill="auto"/>
            <w:noWrap/>
            <w:vAlign w:val="center"/>
            <w:hideMark/>
          </w:tcPr>
          <w:p w:rsidR="00BF1AA5" w:rsidRPr="00BF1AA5" w:rsidRDefault="00BF1AA5" w:rsidP="00BF1AA5">
            <w:pPr>
              <w:spacing w:after="0"/>
              <w:jc w:val="left"/>
              <w:rPr>
                <w:rFonts w:eastAsia="Times New Roman" w:cs="Arial"/>
                <w:b/>
                <w:bCs/>
                <w:color w:val="000000"/>
                <w:spacing w:val="0"/>
                <w:lang w:eastAsia="fr-BE"/>
              </w:rPr>
            </w:pPr>
            <w:r w:rsidRPr="00BF1AA5">
              <w:rPr>
                <w:rFonts w:eastAsia="Times New Roman" w:cs="Arial"/>
                <w:b/>
                <w:bCs/>
                <w:color w:val="000000"/>
                <w:spacing w:val="0"/>
                <w:lang w:eastAsia="fr-BE"/>
              </w:rPr>
              <w:t>Oral</w:t>
            </w:r>
          </w:p>
        </w:tc>
      </w:tr>
      <w:tr w:rsidR="00BF1AA5" w:rsidRPr="00BF1AA5"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BF1AA5" w:rsidRDefault="00BF1AA5" w:rsidP="00BF1AA5">
            <w:pPr>
              <w:spacing w:after="0"/>
              <w:jc w:val="left"/>
              <w:rPr>
                <w:rFonts w:eastAsia="Times New Roman" w:cs="Arial"/>
                <w:color w:val="000000"/>
                <w:spacing w:val="0"/>
                <w:lang w:eastAsia="fr-BE"/>
              </w:rPr>
            </w:pPr>
            <w:r w:rsidRPr="00BF1AA5">
              <w:rPr>
                <w:rFonts w:eastAsia="Times New Roman" w:cs="Arial"/>
                <w:color w:val="000000"/>
                <w:spacing w:val="0"/>
                <w:lang w:eastAsia="fr-BE"/>
              </w:rPr>
              <w:t xml:space="preserve">Ingestion of </w:t>
            </w:r>
            <w:proofErr w:type="spellStart"/>
            <w:r w:rsidRPr="00BF1AA5">
              <w:rPr>
                <w:rFonts w:eastAsia="Times New Roman" w:cs="Arial"/>
                <w:color w:val="000000"/>
                <w:spacing w:val="0"/>
                <w:lang w:eastAsia="fr-BE"/>
              </w:rPr>
              <w:t>soil</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r>
      <w:tr w:rsidR="00BF1AA5" w:rsidRPr="00BF1AA5"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A353E8" w:rsidRDefault="00102EBC" w:rsidP="00BF1AA5">
            <w:pPr>
              <w:spacing w:after="0"/>
              <w:jc w:val="left"/>
              <w:rPr>
                <w:rFonts w:eastAsia="Times New Roman" w:cs="Arial"/>
                <w:color w:val="000000"/>
                <w:spacing w:val="0"/>
                <w:lang w:val="en-GB" w:eastAsia="fr-BE"/>
              </w:rPr>
            </w:pPr>
            <w:r w:rsidRPr="00102EBC">
              <w:rPr>
                <w:rFonts w:eastAsia="Times New Roman" w:cs="Arial"/>
                <w:color w:val="000000"/>
                <w:spacing w:val="0"/>
                <w:lang w:val="en-GB" w:eastAsia="fr-BE"/>
              </w:rPr>
              <w:t>Ingestion of indoor settled dust</w:t>
            </w:r>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r>
      <w:tr w:rsidR="00BF1AA5" w:rsidRPr="00BF1AA5"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A353E8" w:rsidRDefault="00102EBC" w:rsidP="00BF1AA5">
            <w:pPr>
              <w:spacing w:after="0"/>
              <w:jc w:val="left"/>
              <w:rPr>
                <w:rFonts w:eastAsia="Times New Roman" w:cs="Arial"/>
                <w:color w:val="000000"/>
                <w:spacing w:val="0"/>
                <w:lang w:val="en-GB" w:eastAsia="fr-BE"/>
              </w:rPr>
            </w:pPr>
            <w:r w:rsidRPr="00102EBC">
              <w:rPr>
                <w:rFonts w:eastAsia="Times New Roman" w:cs="Arial"/>
                <w:color w:val="000000"/>
                <w:spacing w:val="0"/>
                <w:lang w:val="en-GB" w:eastAsia="fr-BE"/>
              </w:rPr>
              <w:t>Intake of vegetables from local production</w:t>
            </w:r>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r>
      <w:tr w:rsidR="00BF1AA5" w:rsidRPr="00BF1AA5"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A353E8" w:rsidRDefault="00102EBC" w:rsidP="00BF1AA5">
            <w:pPr>
              <w:spacing w:after="0"/>
              <w:jc w:val="left"/>
              <w:rPr>
                <w:rFonts w:eastAsia="Times New Roman" w:cs="Arial"/>
                <w:color w:val="000000"/>
                <w:spacing w:val="0"/>
                <w:lang w:val="en-GB" w:eastAsia="fr-BE"/>
              </w:rPr>
            </w:pPr>
            <w:r w:rsidRPr="00102EBC">
              <w:rPr>
                <w:rFonts w:eastAsia="Times New Roman" w:cs="Arial"/>
                <w:color w:val="000000"/>
                <w:spacing w:val="0"/>
                <w:lang w:val="en-GB" w:eastAsia="fr-BE"/>
              </w:rPr>
              <w:t>Intake of meat and milk from local production</w:t>
            </w:r>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p>
        </w:tc>
      </w:tr>
      <w:tr w:rsidR="00BF1AA5" w:rsidRPr="00A353E8"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A353E8" w:rsidRDefault="00102EBC" w:rsidP="00BF1AA5">
            <w:pPr>
              <w:spacing w:after="0"/>
              <w:jc w:val="left"/>
              <w:rPr>
                <w:rFonts w:eastAsia="Times New Roman" w:cs="Arial"/>
                <w:color w:val="000000"/>
                <w:spacing w:val="0"/>
                <w:lang w:val="en-GB" w:eastAsia="fr-BE"/>
              </w:rPr>
            </w:pPr>
            <w:r w:rsidRPr="00102EBC">
              <w:rPr>
                <w:rFonts w:eastAsia="Times New Roman" w:cs="Arial"/>
                <w:color w:val="000000"/>
                <w:spacing w:val="0"/>
                <w:lang w:val="en-GB" w:eastAsia="fr-BE"/>
              </w:rPr>
              <w:t>Intake of eggs from local origin</w:t>
            </w:r>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A353E8" w:rsidRDefault="00BF1AA5" w:rsidP="00BF1AA5">
            <w:pPr>
              <w:spacing w:after="0"/>
              <w:jc w:val="center"/>
              <w:rPr>
                <w:rFonts w:ascii="Calibri" w:eastAsia="Times New Roman" w:hAnsi="Calibri"/>
                <w:color w:val="000000"/>
                <w:spacing w:val="0"/>
                <w:lang w:val="en-GB" w:eastAsia="fr-BE"/>
              </w:rPr>
            </w:pP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A353E8" w:rsidRDefault="00BF1AA5" w:rsidP="00BF1AA5">
            <w:pPr>
              <w:spacing w:after="0"/>
              <w:jc w:val="center"/>
              <w:rPr>
                <w:rFonts w:ascii="Calibri" w:eastAsia="Times New Roman" w:hAnsi="Calibri"/>
                <w:color w:val="000000"/>
                <w:spacing w:val="0"/>
                <w:lang w:val="en-GB" w:eastAsia="fr-BE"/>
              </w:rPr>
            </w:pP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A353E8" w:rsidRDefault="00BF1AA5" w:rsidP="00BF1AA5">
            <w:pPr>
              <w:spacing w:after="0"/>
              <w:jc w:val="center"/>
              <w:rPr>
                <w:rFonts w:ascii="Calibri" w:eastAsia="Times New Roman" w:hAnsi="Calibri"/>
                <w:color w:val="000000"/>
                <w:spacing w:val="0"/>
                <w:lang w:val="en-GB" w:eastAsia="fr-BE"/>
              </w:rPr>
            </w:pPr>
          </w:p>
        </w:tc>
      </w:tr>
      <w:tr w:rsidR="00BF1AA5" w:rsidRPr="00BF1AA5"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A353E8" w:rsidRDefault="00102EBC" w:rsidP="00BF1AA5">
            <w:pPr>
              <w:spacing w:after="0"/>
              <w:jc w:val="left"/>
              <w:rPr>
                <w:rFonts w:eastAsia="Times New Roman" w:cs="Arial"/>
                <w:color w:val="000000"/>
                <w:spacing w:val="0"/>
                <w:lang w:val="en-GB" w:eastAsia="fr-BE"/>
              </w:rPr>
            </w:pPr>
            <w:r w:rsidRPr="00102EBC">
              <w:rPr>
                <w:rFonts w:eastAsia="Times New Roman" w:cs="Arial"/>
                <w:color w:val="000000"/>
                <w:spacing w:val="0"/>
                <w:lang w:val="en-GB" w:eastAsia="fr-BE"/>
              </w:rPr>
              <w:t>Intake of water (drinking-water or groundwater)</w:t>
            </w:r>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r>
      <w:tr w:rsidR="00BF1AA5" w:rsidRPr="00BF1AA5" w:rsidTr="00BF1AA5">
        <w:trPr>
          <w:trHeight w:val="255"/>
        </w:trPr>
        <w:tc>
          <w:tcPr>
            <w:tcW w:w="10200" w:type="dxa"/>
            <w:gridSpan w:val="4"/>
            <w:tcBorders>
              <w:top w:val="nil"/>
              <w:left w:val="single" w:sz="8" w:space="0" w:color="auto"/>
              <w:bottom w:val="single" w:sz="4" w:space="0" w:color="auto"/>
              <w:right w:val="single" w:sz="8" w:space="0" w:color="auto"/>
            </w:tcBorders>
            <w:shd w:val="clear" w:color="auto" w:fill="auto"/>
            <w:noWrap/>
            <w:vAlign w:val="center"/>
            <w:hideMark/>
          </w:tcPr>
          <w:p w:rsidR="00BF1AA5" w:rsidRPr="00BF1AA5" w:rsidRDefault="00BF1AA5" w:rsidP="00BF1AA5">
            <w:pPr>
              <w:spacing w:after="0"/>
              <w:jc w:val="left"/>
              <w:rPr>
                <w:rFonts w:ascii="Calibri" w:eastAsia="Times New Roman" w:hAnsi="Calibri"/>
                <w:color w:val="000000"/>
                <w:spacing w:val="0"/>
                <w:lang w:eastAsia="fr-BE"/>
              </w:rPr>
            </w:pPr>
            <w:proofErr w:type="spellStart"/>
            <w:r w:rsidRPr="00BF1AA5">
              <w:rPr>
                <w:rFonts w:eastAsia="Times New Roman" w:cs="Arial"/>
                <w:b/>
                <w:bCs/>
                <w:color w:val="000000"/>
                <w:spacing w:val="0"/>
                <w:lang w:eastAsia="fr-BE"/>
              </w:rPr>
              <w:t>Dermal</w:t>
            </w:r>
            <w:proofErr w:type="spellEnd"/>
          </w:p>
        </w:tc>
      </w:tr>
      <w:tr w:rsidR="00BF1AA5" w:rsidRPr="00BF1AA5"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BF1AA5" w:rsidRDefault="00BF1AA5" w:rsidP="00BF1AA5">
            <w:pPr>
              <w:spacing w:after="0"/>
              <w:jc w:val="left"/>
              <w:rPr>
                <w:rFonts w:eastAsia="Times New Roman" w:cs="Arial"/>
                <w:color w:val="000000"/>
                <w:spacing w:val="0"/>
                <w:lang w:eastAsia="fr-BE"/>
              </w:rPr>
            </w:pPr>
            <w:r w:rsidRPr="00BF1AA5">
              <w:rPr>
                <w:rFonts w:eastAsia="Times New Roman" w:cs="Arial"/>
                <w:color w:val="000000"/>
                <w:spacing w:val="0"/>
                <w:lang w:eastAsia="fr-BE"/>
              </w:rPr>
              <w:t xml:space="preserve">Absorption </w:t>
            </w:r>
            <w:proofErr w:type="spellStart"/>
            <w:r w:rsidRPr="00BF1AA5">
              <w:rPr>
                <w:rFonts w:eastAsia="Times New Roman" w:cs="Arial"/>
                <w:color w:val="000000"/>
                <w:spacing w:val="0"/>
                <w:lang w:eastAsia="fr-BE"/>
              </w:rPr>
              <w:t>from</w:t>
            </w:r>
            <w:proofErr w:type="spellEnd"/>
            <w:r w:rsidRPr="00BF1AA5">
              <w:rPr>
                <w:rFonts w:eastAsia="Times New Roman" w:cs="Arial"/>
                <w:color w:val="000000"/>
                <w:spacing w:val="0"/>
                <w:lang w:eastAsia="fr-BE"/>
              </w:rPr>
              <w:t xml:space="preserve"> </w:t>
            </w:r>
            <w:proofErr w:type="spellStart"/>
            <w:r w:rsidRPr="00BF1AA5">
              <w:rPr>
                <w:rFonts w:eastAsia="Times New Roman" w:cs="Arial"/>
                <w:color w:val="000000"/>
                <w:spacing w:val="0"/>
                <w:lang w:eastAsia="fr-BE"/>
              </w:rPr>
              <w:t>soil</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r>
      <w:tr w:rsidR="00BF1AA5" w:rsidRPr="00BF1AA5"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A353E8" w:rsidRDefault="00102EBC" w:rsidP="00BF1AA5">
            <w:pPr>
              <w:spacing w:after="0"/>
              <w:jc w:val="left"/>
              <w:rPr>
                <w:rFonts w:eastAsia="Times New Roman" w:cs="Arial"/>
                <w:color w:val="000000"/>
                <w:spacing w:val="0"/>
                <w:lang w:val="en-GB" w:eastAsia="fr-BE"/>
              </w:rPr>
            </w:pPr>
            <w:r w:rsidRPr="00102EBC">
              <w:rPr>
                <w:rFonts w:eastAsia="Times New Roman" w:cs="Arial"/>
                <w:color w:val="000000"/>
                <w:spacing w:val="0"/>
                <w:lang w:val="en-GB" w:eastAsia="fr-BE"/>
              </w:rPr>
              <w:t>Absorption from indoor settled dust</w:t>
            </w:r>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r>
      <w:tr w:rsidR="00BF1AA5" w:rsidRPr="00BF1AA5"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A353E8" w:rsidRDefault="00102EBC" w:rsidP="00BF1AA5">
            <w:pPr>
              <w:spacing w:after="0"/>
              <w:jc w:val="left"/>
              <w:rPr>
                <w:rFonts w:eastAsia="Times New Roman" w:cs="Arial"/>
                <w:color w:val="000000"/>
                <w:spacing w:val="0"/>
                <w:lang w:val="en-GB" w:eastAsia="fr-BE"/>
              </w:rPr>
            </w:pPr>
            <w:r w:rsidRPr="00102EBC">
              <w:rPr>
                <w:rFonts w:eastAsia="Times New Roman" w:cs="Arial"/>
                <w:color w:val="000000"/>
                <w:spacing w:val="0"/>
                <w:lang w:val="en-GB" w:eastAsia="fr-BE"/>
              </w:rPr>
              <w:t>Absorption from water during showering and bathing</w:t>
            </w:r>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r>
      <w:tr w:rsidR="00BF1AA5" w:rsidRPr="00BF1AA5" w:rsidTr="00BF1AA5">
        <w:trPr>
          <w:trHeight w:val="255"/>
        </w:trPr>
        <w:tc>
          <w:tcPr>
            <w:tcW w:w="10200" w:type="dxa"/>
            <w:gridSpan w:val="4"/>
            <w:tcBorders>
              <w:top w:val="nil"/>
              <w:left w:val="single" w:sz="8" w:space="0" w:color="auto"/>
              <w:bottom w:val="single" w:sz="4" w:space="0" w:color="auto"/>
              <w:right w:val="single" w:sz="8" w:space="0" w:color="auto"/>
            </w:tcBorders>
            <w:shd w:val="clear" w:color="auto" w:fill="auto"/>
            <w:noWrap/>
            <w:vAlign w:val="center"/>
            <w:hideMark/>
          </w:tcPr>
          <w:p w:rsidR="00BF1AA5" w:rsidRPr="00BF1AA5" w:rsidRDefault="00BF1AA5" w:rsidP="00BF1AA5">
            <w:pPr>
              <w:spacing w:after="0"/>
              <w:jc w:val="left"/>
              <w:rPr>
                <w:rFonts w:ascii="Calibri" w:eastAsia="Times New Roman" w:hAnsi="Calibri"/>
                <w:color w:val="000000"/>
                <w:spacing w:val="0"/>
                <w:lang w:eastAsia="fr-BE"/>
              </w:rPr>
            </w:pPr>
            <w:r w:rsidRPr="00BF1AA5">
              <w:rPr>
                <w:rFonts w:eastAsia="Times New Roman" w:cs="Arial"/>
                <w:b/>
                <w:bCs/>
                <w:color w:val="000000"/>
                <w:spacing w:val="0"/>
                <w:lang w:eastAsia="fr-BE"/>
              </w:rPr>
              <w:t>Inhalation</w:t>
            </w:r>
          </w:p>
        </w:tc>
      </w:tr>
      <w:tr w:rsidR="00BF1AA5" w:rsidRPr="00BF1AA5"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A353E8" w:rsidRDefault="00102EBC" w:rsidP="00BF1AA5">
            <w:pPr>
              <w:spacing w:after="0"/>
              <w:jc w:val="left"/>
              <w:rPr>
                <w:rFonts w:eastAsia="Times New Roman" w:cs="Arial"/>
                <w:color w:val="000000"/>
                <w:spacing w:val="0"/>
                <w:lang w:val="en-GB" w:eastAsia="fr-BE"/>
              </w:rPr>
            </w:pPr>
            <w:r w:rsidRPr="00102EBC">
              <w:rPr>
                <w:rFonts w:eastAsia="Times New Roman" w:cs="Arial"/>
                <w:color w:val="000000"/>
                <w:spacing w:val="0"/>
                <w:lang w:val="en-GB" w:eastAsia="fr-BE"/>
              </w:rPr>
              <w:t>Inhalation of outdoor air (gas-phase + particles)</w:t>
            </w:r>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r>
      <w:tr w:rsidR="00BF1AA5" w:rsidRPr="00BF1AA5" w:rsidTr="00BF1AA5">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BF1AA5" w:rsidRPr="00A353E8" w:rsidRDefault="00102EBC" w:rsidP="00BF1AA5">
            <w:pPr>
              <w:spacing w:after="0"/>
              <w:jc w:val="left"/>
              <w:rPr>
                <w:rFonts w:eastAsia="Times New Roman" w:cs="Arial"/>
                <w:color w:val="000000"/>
                <w:spacing w:val="0"/>
                <w:lang w:val="en-GB" w:eastAsia="fr-BE"/>
              </w:rPr>
            </w:pPr>
            <w:r w:rsidRPr="00102EBC">
              <w:rPr>
                <w:rFonts w:eastAsia="Times New Roman" w:cs="Arial"/>
                <w:color w:val="000000"/>
                <w:spacing w:val="0"/>
                <w:lang w:val="en-GB" w:eastAsia="fr-BE"/>
              </w:rPr>
              <w:t>Inhalation of indoor air (gas-phase + particles)</w:t>
            </w:r>
          </w:p>
        </w:tc>
        <w:tc>
          <w:tcPr>
            <w:tcW w:w="1984"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4"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680" w:type="dxa"/>
            <w:tcBorders>
              <w:top w:val="nil"/>
              <w:left w:val="nil"/>
              <w:bottom w:val="single" w:sz="4"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r>
      <w:tr w:rsidR="00BF1AA5" w:rsidRPr="00BF1AA5" w:rsidTr="00BF1AA5">
        <w:trPr>
          <w:trHeight w:val="270"/>
        </w:trPr>
        <w:tc>
          <w:tcPr>
            <w:tcW w:w="4835" w:type="dxa"/>
            <w:tcBorders>
              <w:top w:val="nil"/>
              <w:left w:val="single" w:sz="8" w:space="0" w:color="auto"/>
              <w:bottom w:val="single" w:sz="8" w:space="0" w:color="auto"/>
              <w:right w:val="single" w:sz="4" w:space="0" w:color="auto"/>
            </w:tcBorders>
            <w:shd w:val="clear" w:color="auto" w:fill="auto"/>
            <w:noWrap/>
            <w:vAlign w:val="center"/>
            <w:hideMark/>
          </w:tcPr>
          <w:p w:rsidR="00BF1AA5" w:rsidRPr="00A353E8" w:rsidRDefault="00102EBC" w:rsidP="00BF1AA5">
            <w:pPr>
              <w:spacing w:after="0"/>
              <w:jc w:val="left"/>
              <w:rPr>
                <w:rFonts w:eastAsia="Times New Roman" w:cs="Arial"/>
                <w:color w:val="000000"/>
                <w:spacing w:val="0"/>
                <w:lang w:val="en-GB" w:eastAsia="fr-BE"/>
              </w:rPr>
            </w:pPr>
            <w:r w:rsidRPr="00102EBC">
              <w:rPr>
                <w:rFonts w:eastAsia="Times New Roman" w:cs="Arial"/>
                <w:color w:val="000000"/>
                <w:spacing w:val="0"/>
                <w:lang w:val="en-GB" w:eastAsia="fr-BE"/>
              </w:rPr>
              <w:t>Inhalation during showering (gas-phase)</w:t>
            </w:r>
          </w:p>
        </w:tc>
        <w:tc>
          <w:tcPr>
            <w:tcW w:w="1984" w:type="dxa"/>
            <w:tcBorders>
              <w:top w:val="nil"/>
              <w:left w:val="nil"/>
              <w:bottom w:val="single" w:sz="8"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c>
          <w:tcPr>
            <w:tcW w:w="1701" w:type="dxa"/>
            <w:tcBorders>
              <w:top w:val="nil"/>
              <w:left w:val="nil"/>
              <w:bottom w:val="single" w:sz="8" w:space="0" w:color="auto"/>
              <w:right w:val="single" w:sz="4"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p>
        </w:tc>
        <w:tc>
          <w:tcPr>
            <w:tcW w:w="1680" w:type="dxa"/>
            <w:tcBorders>
              <w:top w:val="nil"/>
              <w:left w:val="nil"/>
              <w:bottom w:val="single" w:sz="8" w:space="0" w:color="auto"/>
              <w:right w:val="single" w:sz="8" w:space="0" w:color="auto"/>
            </w:tcBorders>
            <w:shd w:val="clear" w:color="auto" w:fill="auto"/>
            <w:noWrap/>
            <w:vAlign w:val="center"/>
            <w:hideMark/>
          </w:tcPr>
          <w:p w:rsidR="00BF1AA5" w:rsidRPr="00BF1AA5" w:rsidRDefault="00BF1AA5" w:rsidP="00BF1AA5">
            <w:pPr>
              <w:spacing w:after="0"/>
              <w:jc w:val="center"/>
              <w:rPr>
                <w:rFonts w:ascii="Calibri" w:eastAsia="Times New Roman" w:hAnsi="Calibri"/>
                <w:color w:val="000000"/>
                <w:spacing w:val="0"/>
                <w:lang w:eastAsia="fr-BE"/>
              </w:rPr>
            </w:pPr>
            <w:r w:rsidRPr="00BF1AA5">
              <w:rPr>
                <w:rFonts w:ascii="Calibri" w:eastAsia="Times New Roman" w:hAnsi="Calibri"/>
                <w:color w:val="000000"/>
                <w:spacing w:val="0"/>
                <w:lang w:eastAsia="fr-BE"/>
              </w:rPr>
              <w:t>x</w:t>
            </w:r>
          </w:p>
        </w:tc>
      </w:tr>
    </w:tbl>
    <w:p w:rsidR="00310561" w:rsidRDefault="00310561" w:rsidP="00310561">
      <w:pPr>
        <w:pStyle w:val="Corpsdetexte"/>
        <w:spacing w:after="60"/>
        <w:ind w:left="284"/>
        <w:rPr>
          <w:i/>
          <w:iCs/>
        </w:rPr>
      </w:pPr>
    </w:p>
    <w:p w:rsidR="00310561" w:rsidRPr="0039115E" w:rsidRDefault="00310561" w:rsidP="00310561">
      <w:pPr>
        <w:pStyle w:val="Corpsdetexte"/>
        <w:spacing w:after="60"/>
        <w:ind w:left="284"/>
        <w:rPr>
          <w:i/>
          <w:iCs/>
        </w:rPr>
      </w:pPr>
      <w:r w:rsidRPr="0039115E">
        <w:rPr>
          <w:i/>
          <w:iCs/>
        </w:rPr>
        <w:t>Tableau 3B : voies de transfert, par base d’évaluation des risques</w:t>
      </w:r>
    </w:p>
    <w:p w:rsidR="00BF1AA5" w:rsidRDefault="00BF1AA5" w:rsidP="00BF1AA5">
      <w:pPr>
        <w:pStyle w:val="Corpsdetexte"/>
        <w:spacing w:after="60"/>
      </w:pPr>
    </w:p>
    <w:p w:rsidR="00D61A00" w:rsidRDefault="00D61A00" w:rsidP="00D61A00">
      <w:pPr>
        <w:pStyle w:val="Corpsdetexte"/>
        <w:spacing w:after="60"/>
      </w:pPr>
      <w:r w:rsidRPr="005A0BE4">
        <w:rPr>
          <w:b/>
        </w:rPr>
        <w:t>Cible</w:t>
      </w:r>
      <w:r w:rsidRPr="005A0BE4">
        <w:t xml:space="preserve"> : </w:t>
      </w:r>
      <w:r>
        <w:tab/>
        <w:t xml:space="preserve">base d’évaluation </w:t>
      </w:r>
      <w:r w:rsidRPr="00FD2CB4">
        <w:t>actue</w:t>
      </w:r>
      <w:r>
        <w:t>lle</w:t>
      </w:r>
      <w:r w:rsidRPr="00FD2CB4">
        <w:t> </w:t>
      </w:r>
      <w:r>
        <w:t>: clients de la station-service, promeneur</w:t>
      </w:r>
    </w:p>
    <w:p w:rsidR="00D61A00" w:rsidRDefault="00D61A00" w:rsidP="00D61A00">
      <w:pPr>
        <w:pStyle w:val="Corpsdetexte"/>
        <w:spacing w:after="60"/>
        <w:ind w:left="708" w:firstLine="708"/>
      </w:pPr>
      <w:proofErr w:type="gramStart"/>
      <w:r>
        <w:t>base</w:t>
      </w:r>
      <w:proofErr w:type="gramEnd"/>
      <w:r>
        <w:t xml:space="preserve"> d’évaluation projetée : résidents des habitations, visiteurs</w:t>
      </w:r>
    </w:p>
    <w:p w:rsidR="00CC55EF" w:rsidRDefault="00CC55EF" w:rsidP="00CC55EF">
      <w:pPr>
        <w:pStyle w:val="Corpsdetexte"/>
        <w:spacing w:after="60"/>
      </w:pPr>
    </w:p>
    <w:p w:rsidR="00CC55EF" w:rsidRDefault="00CC55EF" w:rsidP="00CC55EF">
      <w:pPr>
        <w:pStyle w:val="Corpsdetexte"/>
        <w:spacing w:after="60"/>
      </w:pPr>
      <w:r>
        <w:t>Le schéma conceptuel repris à la figure 1 représente l’ensemble des voies d’exposition. Certain scénario évalué dans le présents rapport ne tiennent pas compte d</w:t>
      </w:r>
      <w:r w:rsidR="00310561">
        <w:t>e</w:t>
      </w:r>
      <w:r>
        <w:t xml:space="preserve"> l’ensemble des voies d’exposition.</w:t>
      </w:r>
    </w:p>
    <w:p w:rsidR="00CC55EF" w:rsidRDefault="00CC55EF" w:rsidP="00CC55EF">
      <w:pPr>
        <w:pStyle w:val="Corpsdetexte"/>
        <w:spacing w:after="60"/>
        <w:ind w:left="284"/>
      </w:pPr>
      <w:r>
        <w:rPr>
          <w:noProof/>
          <w:lang w:eastAsia="fr-BE"/>
        </w:rPr>
        <w:lastRenderedPageBreak/>
        <w:drawing>
          <wp:inline distT="0" distB="0" distL="0" distR="0">
            <wp:extent cx="6135659" cy="3971925"/>
            <wp:effectExtent l="19050" t="0" r="0" b="0"/>
            <wp:docPr id="1" name="Image 1" descr="G:\MCSC exercice juin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CSC exercice juin 2017.png"/>
                    <pic:cNvPicPr>
                      <a:picLocks noChangeAspect="1" noChangeArrowheads="1"/>
                    </pic:cNvPicPr>
                  </pic:nvPicPr>
                  <pic:blipFill>
                    <a:blip r:embed="rId8" cstate="print"/>
                    <a:srcRect/>
                    <a:stretch>
                      <a:fillRect/>
                    </a:stretch>
                  </pic:blipFill>
                  <pic:spPr bwMode="auto">
                    <a:xfrm>
                      <a:off x="0" y="0"/>
                      <a:ext cx="6135659" cy="3971925"/>
                    </a:xfrm>
                    <a:prstGeom prst="rect">
                      <a:avLst/>
                    </a:prstGeom>
                    <a:noFill/>
                    <a:ln w="9525">
                      <a:noFill/>
                      <a:miter lim="800000"/>
                      <a:headEnd/>
                      <a:tailEnd/>
                    </a:ln>
                  </pic:spPr>
                </pic:pic>
              </a:graphicData>
            </a:graphic>
          </wp:inline>
        </w:drawing>
      </w:r>
    </w:p>
    <w:p w:rsidR="00CC55EF" w:rsidRPr="0039115E" w:rsidRDefault="00CC55EF" w:rsidP="00CC55EF">
      <w:pPr>
        <w:pStyle w:val="Corpsdetexte"/>
        <w:spacing w:after="60"/>
        <w:ind w:left="284"/>
        <w:rPr>
          <w:i/>
          <w:iCs/>
        </w:rPr>
      </w:pPr>
      <w:r w:rsidRPr="0039115E">
        <w:rPr>
          <w:i/>
          <w:iCs/>
        </w:rPr>
        <w:t>Figure 1 : Modèle Conceptuel du Site Caractérisé</w:t>
      </w:r>
    </w:p>
    <w:p w:rsidR="00CC55EF" w:rsidRDefault="00CC55EF" w:rsidP="00CC55EF">
      <w:pPr>
        <w:pStyle w:val="Corpsdetexte"/>
        <w:spacing w:after="60"/>
        <w:ind w:left="284"/>
      </w:pPr>
    </w:p>
    <w:p w:rsidR="00B86C24" w:rsidRDefault="00B86C24" w:rsidP="00246F9C">
      <w:pPr>
        <w:pStyle w:val="Corpsdetexte"/>
        <w:spacing w:after="60"/>
        <w:ind w:left="284"/>
      </w:pPr>
    </w:p>
    <w:p w:rsidR="00246F9C" w:rsidRDefault="00246F9C" w:rsidP="00246F9C">
      <w:pPr>
        <w:pStyle w:val="Corpsdetexte"/>
        <w:spacing w:after="60"/>
        <w:ind w:left="284"/>
      </w:pPr>
      <w:r w:rsidRPr="00276B5E">
        <w:t>3.4 Concentrations représentatives</w:t>
      </w:r>
    </w:p>
    <w:p w:rsidR="00246F9C" w:rsidRDefault="00246F9C" w:rsidP="00246F9C">
      <w:pPr>
        <w:pStyle w:val="Corpsdetexte"/>
        <w:spacing w:after="60"/>
        <w:ind w:left="284"/>
      </w:pPr>
    </w:p>
    <w:p w:rsidR="00246F9C" w:rsidRPr="005A0BE4" w:rsidRDefault="00246F9C" w:rsidP="005A0BE4">
      <w:pPr>
        <w:pStyle w:val="Corpsdetexte"/>
        <w:spacing w:after="60"/>
      </w:pPr>
      <w:r>
        <w:t>Conformément au CWBP V</w:t>
      </w:r>
      <w:r w:rsidR="00117C20">
        <w:t>0</w:t>
      </w:r>
      <w:r>
        <w:t xml:space="preserve">3, la concentration représentative </w:t>
      </w:r>
      <w:r w:rsidR="00117C20" w:rsidRPr="00246F9C">
        <w:t>d</w:t>
      </w:r>
      <w:r w:rsidR="00117C20">
        <w:t>u</w:t>
      </w:r>
      <w:r w:rsidR="00117C20" w:rsidRPr="00246F9C">
        <w:t xml:space="preserve"> </w:t>
      </w:r>
      <w:r w:rsidRPr="00246F9C">
        <w:t xml:space="preserve">remblai </w:t>
      </w:r>
      <w:r w:rsidR="00117C20">
        <w:t>retenue est</w:t>
      </w:r>
      <w:r w:rsidRPr="00246F9C">
        <w:t xml:space="preserve"> </w:t>
      </w:r>
      <w:proofErr w:type="spellStart"/>
      <w:r w:rsidRPr="00246F9C">
        <w:t>C</w:t>
      </w:r>
      <w:r w:rsidRPr="005A0BE4">
        <w:rPr>
          <w:vertAlign w:val="subscript"/>
        </w:rPr>
        <w:t>moyen</w:t>
      </w:r>
      <w:r w:rsidR="00117C20">
        <w:rPr>
          <w:vertAlign w:val="subscript"/>
        </w:rPr>
        <w:t>ne</w:t>
      </w:r>
      <w:proofErr w:type="spellEnd"/>
      <w:r w:rsidR="005A0BE4">
        <w:rPr>
          <w:vertAlign w:val="subscript"/>
        </w:rPr>
        <w:t> </w:t>
      </w:r>
      <w:r w:rsidRPr="00246F9C">
        <w:t>+ 2</w:t>
      </w:r>
      <w:r w:rsidRPr="005A0BE4">
        <w:t xml:space="preserve"> σ</w:t>
      </w:r>
      <w:r w:rsidR="00117C20">
        <w:t>,</w:t>
      </w:r>
      <w:r w:rsidRPr="005A0BE4">
        <w:t xml:space="preserve"> étant donné que 8 échantillons de remblais ont été analysés. Concernant la tache de pollution, la concentration maximale a été considérée.</w:t>
      </w:r>
      <w:r w:rsidR="005A0BE4" w:rsidRPr="005A0BE4">
        <w:t xml:space="preserve"> Le tableau 4 présente ces concentrations représentatives.</w:t>
      </w:r>
    </w:p>
    <w:p w:rsidR="00246F9C" w:rsidRDefault="00246F9C" w:rsidP="00A11C08">
      <w:pPr>
        <w:pStyle w:val="Corpsdetexte"/>
        <w:spacing w:after="60"/>
        <w:ind w:left="284"/>
      </w:pPr>
    </w:p>
    <w:p w:rsidR="00246F9C" w:rsidRDefault="00246F9C" w:rsidP="00A11C08">
      <w:pPr>
        <w:pStyle w:val="Corpsdetexte"/>
        <w:spacing w:after="60"/>
        <w:ind w:left="284"/>
      </w:pPr>
    </w:p>
    <w:p w:rsidR="00246F9C" w:rsidRDefault="00246F9C" w:rsidP="00A11C08">
      <w:pPr>
        <w:pStyle w:val="Corpsdetexte"/>
        <w:spacing w:after="60"/>
        <w:ind w:left="284"/>
      </w:pPr>
    </w:p>
    <w:p w:rsidR="00246F9C" w:rsidRDefault="00246F9C" w:rsidP="00A11C08">
      <w:pPr>
        <w:pStyle w:val="Corpsdetexte"/>
        <w:spacing w:after="60"/>
        <w:ind w:left="284"/>
      </w:pPr>
    </w:p>
    <w:p w:rsidR="00246F9C" w:rsidRDefault="00246F9C" w:rsidP="00A11C08">
      <w:pPr>
        <w:pStyle w:val="Corpsdetexte"/>
        <w:spacing w:after="60"/>
        <w:ind w:left="284"/>
      </w:pPr>
    </w:p>
    <w:p w:rsidR="00246F9C" w:rsidRDefault="00246F9C" w:rsidP="00A11C08">
      <w:pPr>
        <w:pStyle w:val="Corpsdetexte"/>
        <w:spacing w:after="60"/>
        <w:ind w:left="284"/>
      </w:pPr>
    </w:p>
    <w:p w:rsidR="00246F9C" w:rsidRDefault="00246F9C" w:rsidP="00A11C08">
      <w:pPr>
        <w:pStyle w:val="Corpsdetexte"/>
        <w:spacing w:after="60"/>
        <w:ind w:left="284"/>
        <w:sectPr w:rsidR="00246F9C" w:rsidSect="002F6B08">
          <w:footerReference w:type="default" r:id="rId9"/>
          <w:pgSz w:w="11906" w:h="16838"/>
          <w:pgMar w:top="1417" w:right="1417" w:bottom="1417" w:left="1417" w:header="708" w:footer="708" w:gutter="0"/>
          <w:cols w:space="708"/>
          <w:docGrid w:linePitch="360"/>
        </w:sectPr>
      </w:pPr>
    </w:p>
    <w:p w:rsidR="00246F9C" w:rsidRDefault="00246F9C" w:rsidP="00A11C08">
      <w:pPr>
        <w:pStyle w:val="Corpsdetexte"/>
        <w:spacing w:after="60"/>
        <w:ind w:left="284"/>
        <w:rPr>
          <w:rFonts w:cs="Arial"/>
          <w:sz w:val="16"/>
          <w:szCs w:val="16"/>
        </w:rPr>
      </w:pPr>
    </w:p>
    <w:p w:rsidR="00246F9C" w:rsidRDefault="00246F9C" w:rsidP="00A11C08">
      <w:pPr>
        <w:pStyle w:val="Corpsdetexte"/>
        <w:spacing w:after="60"/>
        <w:ind w:left="284"/>
      </w:pPr>
      <w:r>
        <w:rPr>
          <w:rFonts w:cs="Arial"/>
          <w:sz w:val="16"/>
          <w:szCs w:val="16"/>
        </w:rPr>
        <w:t xml:space="preserve"> </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468"/>
        <w:gridCol w:w="930"/>
        <w:gridCol w:w="1001"/>
        <w:gridCol w:w="1007"/>
        <w:gridCol w:w="981"/>
        <w:gridCol w:w="859"/>
        <w:gridCol w:w="1538"/>
        <w:gridCol w:w="839"/>
        <w:gridCol w:w="1442"/>
        <w:gridCol w:w="1382"/>
        <w:gridCol w:w="1265"/>
      </w:tblGrid>
      <w:tr w:rsidR="00240FB8" w:rsidRPr="00FD2CB4" w:rsidTr="00D61A00">
        <w:trPr>
          <w:trHeight w:val="474"/>
          <w:jc w:val="center"/>
        </w:trPr>
        <w:tc>
          <w:tcPr>
            <w:tcW w:w="1046" w:type="pct"/>
            <w:gridSpan w:val="2"/>
            <w:vAlign w:val="center"/>
          </w:tcPr>
          <w:p w:rsidR="009C2292" w:rsidRPr="00FD2CB4" w:rsidRDefault="009C2292" w:rsidP="009C2292">
            <w:pPr>
              <w:spacing w:after="0"/>
              <w:jc w:val="center"/>
              <w:rPr>
                <w:rFonts w:cs="Arial"/>
                <w:sz w:val="16"/>
                <w:szCs w:val="16"/>
              </w:rPr>
            </w:pPr>
            <w:r w:rsidRPr="00FD2CB4">
              <w:rPr>
                <w:rFonts w:cs="Arial"/>
                <w:sz w:val="16"/>
                <w:szCs w:val="16"/>
              </w:rPr>
              <w:t>Zone de pollution</w:t>
            </w:r>
          </w:p>
        </w:tc>
        <w:tc>
          <w:tcPr>
            <w:tcW w:w="327" w:type="pct"/>
            <w:vMerge w:val="restart"/>
            <w:vAlign w:val="center"/>
          </w:tcPr>
          <w:p w:rsidR="009C2292" w:rsidRPr="00FD2CB4" w:rsidRDefault="009C2292" w:rsidP="009C2292">
            <w:pPr>
              <w:spacing w:after="0"/>
              <w:jc w:val="center"/>
              <w:rPr>
                <w:rFonts w:cs="Arial"/>
                <w:sz w:val="16"/>
                <w:szCs w:val="16"/>
              </w:rPr>
            </w:pPr>
            <w:r w:rsidRPr="00FD2CB4">
              <w:rPr>
                <w:rFonts w:cs="Arial"/>
                <w:sz w:val="16"/>
                <w:szCs w:val="16"/>
              </w:rPr>
              <w:t>Matrice (sol/eau)</w:t>
            </w:r>
          </w:p>
        </w:tc>
        <w:tc>
          <w:tcPr>
            <w:tcW w:w="352" w:type="pct"/>
            <w:vMerge w:val="restart"/>
            <w:vAlign w:val="center"/>
          </w:tcPr>
          <w:p w:rsidR="009C2292" w:rsidRPr="00FD2CB4" w:rsidRDefault="009C2292" w:rsidP="009C2292">
            <w:pPr>
              <w:spacing w:after="0"/>
              <w:jc w:val="center"/>
              <w:rPr>
                <w:rFonts w:cs="Arial"/>
                <w:sz w:val="16"/>
                <w:szCs w:val="16"/>
              </w:rPr>
            </w:pPr>
            <w:r w:rsidRPr="00FD2CB4">
              <w:rPr>
                <w:rFonts w:cs="Arial"/>
                <w:sz w:val="16"/>
                <w:szCs w:val="16"/>
              </w:rPr>
              <w:t>Lithologie</w:t>
            </w:r>
            <w:r w:rsidRPr="00FD2CB4">
              <w:rPr>
                <w:rFonts w:cs="Arial"/>
                <w:sz w:val="16"/>
                <w:szCs w:val="16"/>
              </w:rPr>
              <w:br/>
              <w:t>impactée</w:t>
            </w:r>
          </w:p>
        </w:tc>
        <w:tc>
          <w:tcPr>
            <w:tcW w:w="354" w:type="pct"/>
            <w:vMerge w:val="restart"/>
            <w:vAlign w:val="center"/>
          </w:tcPr>
          <w:p w:rsidR="009C2292" w:rsidRPr="00FD2CB4" w:rsidRDefault="009C2292" w:rsidP="009C2292">
            <w:pPr>
              <w:spacing w:after="0"/>
              <w:jc w:val="center"/>
              <w:rPr>
                <w:rFonts w:cs="Arial"/>
                <w:sz w:val="16"/>
                <w:szCs w:val="16"/>
              </w:rPr>
            </w:pPr>
            <w:r w:rsidRPr="00FD2CB4">
              <w:rPr>
                <w:rFonts w:cs="Arial"/>
                <w:sz w:val="16"/>
                <w:szCs w:val="16"/>
              </w:rPr>
              <w:t>Type de pollution (DT/NDT)</w:t>
            </w:r>
          </w:p>
        </w:tc>
        <w:tc>
          <w:tcPr>
            <w:tcW w:w="345" w:type="pct"/>
            <w:vMerge w:val="restart"/>
            <w:vAlign w:val="center"/>
          </w:tcPr>
          <w:p w:rsidR="009C2292" w:rsidRPr="00FD2CB4" w:rsidRDefault="009C2292" w:rsidP="009C2292">
            <w:pPr>
              <w:spacing w:after="0"/>
              <w:jc w:val="center"/>
              <w:rPr>
                <w:rFonts w:cs="Arial"/>
                <w:sz w:val="16"/>
                <w:szCs w:val="16"/>
              </w:rPr>
            </w:pPr>
            <w:r w:rsidRPr="00FD2CB4">
              <w:rPr>
                <w:rFonts w:cs="Arial"/>
                <w:sz w:val="16"/>
                <w:szCs w:val="16"/>
              </w:rPr>
              <w:t>Famille de polluants</w:t>
            </w:r>
          </w:p>
        </w:tc>
        <w:tc>
          <w:tcPr>
            <w:tcW w:w="302" w:type="pct"/>
            <w:vMerge w:val="restart"/>
            <w:vAlign w:val="center"/>
          </w:tcPr>
          <w:p w:rsidR="009C2292" w:rsidRPr="00FD2CB4" w:rsidRDefault="009C2292" w:rsidP="009C2292">
            <w:pPr>
              <w:spacing w:after="0"/>
              <w:jc w:val="center"/>
              <w:rPr>
                <w:rFonts w:cs="Arial"/>
                <w:sz w:val="16"/>
                <w:szCs w:val="16"/>
              </w:rPr>
            </w:pPr>
            <w:r w:rsidRPr="00FD2CB4">
              <w:rPr>
                <w:rFonts w:cs="Arial"/>
                <w:sz w:val="16"/>
                <w:szCs w:val="16"/>
              </w:rPr>
              <w:t>Surface de la zone (m</w:t>
            </w:r>
            <w:r w:rsidRPr="00FD2CB4">
              <w:rPr>
                <w:rFonts w:cs="Arial"/>
                <w:sz w:val="16"/>
                <w:szCs w:val="16"/>
                <w:vertAlign w:val="superscript"/>
              </w:rPr>
              <w:t>2</w:t>
            </w:r>
            <w:r w:rsidRPr="00FD2CB4">
              <w:rPr>
                <w:rFonts w:cs="Arial"/>
                <w:sz w:val="16"/>
                <w:szCs w:val="16"/>
              </w:rPr>
              <w:t>)</w:t>
            </w:r>
          </w:p>
        </w:tc>
        <w:tc>
          <w:tcPr>
            <w:tcW w:w="541" w:type="pct"/>
            <w:vMerge w:val="restart"/>
            <w:vAlign w:val="center"/>
          </w:tcPr>
          <w:p w:rsidR="009C2292" w:rsidRPr="00FD2CB4" w:rsidRDefault="009C2292" w:rsidP="009C2292">
            <w:pPr>
              <w:spacing w:after="0"/>
              <w:jc w:val="center"/>
              <w:rPr>
                <w:rFonts w:cs="Arial"/>
                <w:sz w:val="16"/>
                <w:szCs w:val="16"/>
              </w:rPr>
            </w:pPr>
            <w:r w:rsidRPr="00FD2CB4">
              <w:rPr>
                <w:rFonts w:cs="Arial"/>
                <w:sz w:val="16"/>
                <w:szCs w:val="16"/>
              </w:rPr>
              <w:t xml:space="preserve"> Profondeurs représentatives</w:t>
            </w:r>
          </w:p>
          <w:p w:rsidR="009C2292" w:rsidRPr="00FD2CB4" w:rsidRDefault="009C2292" w:rsidP="009C2292">
            <w:pPr>
              <w:spacing w:after="0"/>
              <w:jc w:val="center"/>
              <w:rPr>
                <w:rFonts w:cs="Arial"/>
                <w:sz w:val="16"/>
                <w:szCs w:val="16"/>
              </w:rPr>
            </w:pPr>
            <w:r w:rsidRPr="00FD2CB4">
              <w:rPr>
                <w:rFonts w:cs="Arial"/>
                <w:sz w:val="16"/>
                <w:szCs w:val="16"/>
              </w:rPr>
              <w:t xml:space="preserve">(p1-p2) </w:t>
            </w:r>
            <w:proofErr w:type="spellStart"/>
            <w:r w:rsidRPr="00FD2CB4">
              <w:rPr>
                <w:rFonts w:cs="Arial"/>
                <w:sz w:val="16"/>
                <w:szCs w:val="16"/>
              </w:rPr>
              <w:t>m</w:t>
            </w:r>
            <w:r w:rsidRPr="00FD2CB4">
              <w:rPr>
                <w:rFonts w:cs="Arial"/>
                <w:sz w:val="16"/>
                <w:szCs w:val="16"/>
              </w:rPr>
              <w:noBreakHyphen/>
              <w:t>ns</w:t>
            </w:r>
            <w:proofErr w:type="spellEnd"/>
            <w:r w:rsidRPr="00FD2CB4" w:rsidDel="00395A38">
              <w:rPr>
                <w:rFonts w:cs="Arial"/>
                <w:sz w:val="16"/>
                <w:szCs w:val="16"/>
              </w:rPr>
              <w:t xml:space="preserve"> </w:t>
            </w:r>
          </w:p>
        </w:tc>
        <w:tc>
          <w:tcPr>
            <w:tcW w:w="295" w:type="pct"/>
            <w:vMerge w:val="restart"/>
            <w:vAlign w:val="center"/>
          </w:tcPr>
          <w:p w:rsidR="009C2292" w:rsidRPr="00FD2CB4" w:rsidRDefault="009C2292" w:rsidP="009C2292">
            <w:pPr>
              <w:spacing w:after="0"/>
              <w:jc w:val="center"/>
              <w:rPr>
                <w:rFonts w:cs="Arial"/>
                <w:sz w:val="16"/>
                <w:szCs w:val="16"/>
              </w:rPr>
            </w:pPr>
            <w:r w:rsidRPr="00FD2CB4">
              <w:rPr>
                <w:rFonts w:cs="Arial"/>
                <w:sz w:val="16"/>
                <w:szCs w:val="16"/>
              </w:rPr>
              <w:t>Volume (m</w:t>
            </w:r>
            <w:r w:rsidRPr="00FD2CB4">
              <w:rPr>
                <w:rFonts w:cs="Arial"/>
                <w:sz w:val="16"/>
                <w:szCs w:val="16"/>
                <w:vertAlign w:val="superscript"/>
              </w:rPr>
              <w:t>3</w:t>
            </w:r>
            <w:r w:rsidRPr="00FD2CB4">
              <w:rPr>
                <w:rFonts w:cs="Arial"/>
                <w:sz w:val="16"/>
                <w:szCs w:val="16"/>
              </w:rPr>
              <w:t>)</w:t>
            </w:r>
          </w:p>
        </w:tc>
        <w:tc>
          <w:tcPr>
            <w:tcW w:w="507" w:type="pct"/>
            <w:vMerge w:val="restart"/>
            <w:vAlign w:val="center"/>
          </w:tcPr>
          <w:p w:rsidR="009C2292" w:rsidRPr="00FD2CB4" w:rsidRDefault="009C2292" w:rsidP="009C2292">
            <w:pPr>
              <w:spacing w:after="0"/>
              <w:jc w:val="center"/>
              <w:rPr>
                <w:rFonts w:cs="Arial"/>
                <w:sz w:val="16"/>
                <w:szCs w:val="16"/>
              </w:rPr>
            </w:pPr>
            <w:r w:rsidRPr="00FD2CB4">
              <w:rPr>
                <w:rFonts w:cs="Arial"/>
                <w:sz w:val="16"/>
                <w:szCs w:val="16"/>
              </w:rPr>
              <w:t>Concentration représentative</w:t>
            </w:r>
            <w:r w:rsidR="00BE08DE">
              <w:rPr>
                <w:rFonts w:cs="Arial"/>
                <w:sz w:val="16"/>
                <w:szCs w:val="16"/>
              </w:rPr>
              <w:t xml:space="preserve"> sol </w:t>
            </w:r>
            <w:proofErr w:type="gramStart"/>
            <w:r w:rsidR="00BE08DE">
              <w:rPr>
                <w:rFonts w:cs="Arial"/>
                <w:sz w:val="16"/>
                <w:szCs w:val="16"/>
              </w:rPr>
              <w:t>( mg</w:t>
            </w:r>
            <w:proofErr w:type="gramEnd"/>
            <w:r w:rsidR="00BE08DE">
              <w:rPr>
                <w:rFonts w:cs="Arial"/>
                <w:sz w:val="16"/>
                <w:szCs w:val="16"/>
              </w:rPr>
              <w:t>/kg MS)</w:t>
            </w:r>
          </w:p>
        </w:tc>
        <w:tc>
          <w:tcPr>
            <w:tcW w:w="486" w:type="pct"/>
            <w:vMerge w:val="restart"/>
            <w:vAlign w:val="center"/>
          </w:tcPr>
          <w:p w:rsidR="009C2292" w:rsidRPr="00FD2CB4" w:rsidRDefault="009C2292" w:rsidP="009C2292">
            <w:pPr>
              <w:spacing w:after="0"/>
              <w:jc w:val="center"/>
              <w:rPr>
                <w:rFonts w:cs="Arial"/>
                <w:sz w:val="16"/>
                <w:szCs w:val="16"/>
              </w:rPr>
            </w:pPr>
            <w:r w:rsidRPr="00FD2CB4">
              <w:rPr>
                <w:rFonts w:cs="Arial"/>
                <w:sz w:val="16"/>
                <w:szCs w:val="16"/>
              </w:rPr>
              <w:t>Indicateur statistique</w:t>
            </w:r>
          </w:p>
        </w:tc>
        <w:tc>
          <w:tcPr>
            <w:tcW w:w="445" w:type="pct"/>
            <w:vMerge w:val="restart"/>
            <w:vAlign w:val="center"/>
          </w:tcPr>
          <w:p w:rsidR="009C2292" w:rsidRPr="00FD2CB4" w:rsidRDefault="009C2292" w:rsidP="009C2292">
            <w:pPr>
              <w:spacing w:after="0"/>
              <w:jc w:val="center"/>
              <w:rPr>
                <w:rFonts w:cs="Arial"/>
                <w:sz w:val="16"/>
                <w:szCs w:val="16"/>
              </w:rPr>
            </w:pPr>
            <w:r w:rsidRPr="00FD2CB4">
              <w:rPr>
                <w:rFonts w:cs="Arial"/>
                <w:sz w:val="16"/>
                <w:szCs w:val="16"/>
              </w:rPr>
              <w:t xml:space="preserve">Nom synthèse informatique de la </w:t>
            </w:r>
            <w:r w:rsidRPr="00FD2CB4">
              <w:rPr>
                <w:rFonts w:cs="Arial"/>
                <w:bCs/>
                <w:sz w:val="16"/>
                <w:szCs w:val="16"/>
              </w:rPr>
              <w:t>description statistique</w:t>
            </w:r>
          </w:p>
        </w:tc>
      </w:tr>
      <w:tr w:rsidR="00240FB8" w:rsidRPr="00FD2CB4" w:rsidTr="00D61A00">
        <w:trPr>
          <w:trHeight w:val="474"/>
          <w:jc w:val="center"/>
        </w:trPr>
        <w:tc>
          <w:tcPr>
            <w:tcW w:w="178" w:type="pct"/>
            <w:vAlign w:val="center"/>
          </w:tcPr>
          <w:p w:rsidR="009C2292" w:rsidRPr="00FD2CB4" w:rsidRDefault="009C2292" w:rsidP="009C2292">
            <w:pPr>
              <w:spacing w:after="0"/>
              <w:jc w:val="center"/>
              <w:rPr>
                <w:rFonts w:cs="Arial"/>
                <w:sz w:val="16"/>
                <w:szCs w:val="16"/>
              </w:rPr>
            </w:pPr>
            <w:r w:rsidRPr="00FD2CB4">
              <w:rPr>
                <w:rFonts w:cs="Arial"/>
                <w:sz w:val="16"/>
                <w:szCs w:val="16"/>
              </w:rPr>
              <w:t>N°</w:t>
            </w:r>
          </w:p>
        </w:tc>
        <w:tc>
          <w:tcPr>
            <w:tcW w:w="868" w:type="pct"/>
            <w:vAlign w:val="center"/>
          </w:tcPr>
          <w:p w:rsidR="009C2292" w:rsidRPr="00FD2CB4" w:rsidRDefault="009C2292" w:rsidP="009C2292">
            <w:pPr>
              <w:spacing w:after="0"/>
              <w:jc w:val="center"/>
              <w:rPr>
                <w:rFonts w:cs="Arial"/>
                <w:sz w:val="16"/>
                <w:szCs w:val="16"/>
              </w:rPr>
            </w:pPr>
            <w:r w:rsidRPr="00FD2CB4">
              <w:rPr>
                <w:rFonts w:cs="Arial"/>
                <w:sz w:val="16"/>
                <w:szCs w:val="16"/>
              </w:rPr>
              <w:t>Intitulé</w:t>
            </w:r>
          </w:p>
        </w:tc>
        <w:tc>
          <w:tcPr>
            <w:tcW w:w="327" w:type="pct"/>
            <w:vMerge/>
            <w:vAlign w:val="center"/>
          </w:tcPr>
          <w:p w:rsidR="009C2292" w:rsidRPr="00FD2CB4" w:rsidRDefault="009C2292" w:rsidP="009C2292">
            <w:pPr>
              <w:spacing w:after="0"/>
              <w:jc w:val="center"/>
              <w:rPr>
                <w:rFonts w:cs="Arial"/>
                <w:sz w:val="16"/>
                <w:szCs w:val="16"/>
              </w:rPr>
            </w:pPr>
          </w:p>
        </w:tc>
        <w:tc>
          <w:tcPr>
            <w:tcW w:w="352" w:type="pct"/>
            <w:vMerge/>
            <w:vAlign w:val="center"/>
          </w:tcPr>
          <w:p w:rsidR="009C2292" w:rsidRPr="00FD2CB4" w:rsidRDefault="009C2292" w:rsidP="009C2292">
            <w:pPr>
              <w:spacing w:after="0"/>
              <w:jc w:val="center"/>
              <w:rPr>
                <w:rFonts w:cs="Arial"/>
                <w:sz w:val="16"/>
                <w:szCs w:val="16"/>
              </w:rPr>
            </w:pPr>
          </w:p>
        </w:tc>
        <w:tc>
          <w:tcPr>
            <w:tcW w:w="354" w:type="pct"/>
            <w:vMerge/>
            <w:vAlign w:val="center"/>
          </w:tcPr>
          <w:p w:rsidR="009C2292" w:rsidRPr="00FD2CB4" w:rsidRDefault="009C2292" w:rsidP="009C2292">
            <w:pPr>
              <w:spacing w:after="0"/>
              <w:jc w:val="center"/>
              <w:rPr>
                <w:rFonts w:cs="Arial"/>
                <w:sz w:val="16"/>
                <w:szCs w:val="16"/>
              </w:rPr>
            </w:pPr>
          </w:p>
        </w:tc>
        <w:tc>
          <w:tcPr>
            <w:tcW w:w="345" w:type="pct"/>
            <w:vMerge/>
            <w:vAlign w:val="center"/>
          </w:tcPr>
          <w:p w:rsidR="009C2292" w:rsidRPr="00FD2CB4" w:rsidRDefault="009C2292" w:rsidP="009C2292">
            <w:pPr>
              <w:spacing w:after="0"/>
              <w:jc w:val="center"/>
              <w:rPr>
                <w:rFonts w:cs="Arial"/>
                <w:sz w:val="16"/>
                <w:szCs w:val="16"/>
              </w:rPr>
            </w:pPr>
          </w:p>
        </w:tc>
        <w:tc>
          <w:tcPr>
            <w:tcW w:w="302" w:type="pct"/>
            <w:vMerge/>
            <w:vAlign w:val="center"/>
          </w:tcPr>
          <w:p w:rsidR="009C2292" w:rsidRPr="00FD2CB4" w:rsidRDefault="009C2292" w:rsidP="009C2292">
            <w:pPr>
              <w:spacing w:after="0"/>
              <w:jc w:val="center"/>
              <w:rPr>
                <w:rFonts w:cs="Arial"/>
                <w:sz w:val="16"/>
                <w:szCs w:val="16"/>
              </w:rPr>
            </w:pPr>
          </w:p>
        </w:tc>
        <w:tc>
          <w:tcPr>
            <w:tcW w:w="541" w:type="pct"/>
            <w:vMerge/>
            <w:vAlign w:val="center"/>
          </w:tcPr>
          <w:p w:rsidR="009C2292" w:rsidRPr="00FD2CB4" w:rsidRDefault="009C2292" w:rsidP="009C2292">
            <w:pPr>
              <w:spacing w:after="0"/>
              <w:jc w:val="center"/>
              <w:rPr>
                <w:rFonts w:cs="Arial"/>
                <w:sz w:val="16"/>
                <w:szCs w:val="16"/>
              </w:rPr>
            </w:pPr>
          </w:p>
        </w:tc>
        <w:tc>
          <w:tcPr>
            <w:tcW w:w="295" w:type="pct"/>
            <w:vMerge/>
            <w:vAlign w:val="center"/>
          </w:tcPr>
          <w:p w:rsidR="009C2292" w:rsidRPr="00FD2CB4" w:rsidRDefault="009C2292" w:rsidP="009C2292">
            <w:pPr>
              <w:spacing w:after="0"/>
              <w:jc w:val="center"/>
              <w:rPr>
                <w:rFonts w:cs="Arial"/>
                <w:sz w:val="16"/>
                <w:szCs w:val="16"/>
              </w:rPr>
            </w:pPr>
          </w:p>
        </w:tc>
        <w:tc>
          <w:tcPr>
            <w:tcW w:w="507" w:type="pct"/>
            <w:vMerge/>
            <w:vAlign w:val="center"/>
          </w:tcPr>
          <w:p w:rsidR="009C2292" w:rsidRPr="00FD2CB4" w:rsidRDefault="009C2292" w:rsidP="009C2292">
            <w:pPr>
              <w:spacing w:after="0"/>
              <w:jc w:val="center"/>
              <w:rPr>
                <w:rFonts w:cs="Arial"/>
                <w:sz w:val="16"/>
                <w:szCs w:val="16"/>
              </w:rPr>
            </w:pPr>
          </w:p>
        </w:tc>
        <w:tc>
          <w:tcPr>
            <w:tcW w:w="486" w:type="pct"/>
            <w:vMerge/>
            <w:vAlign w:val="center"/>
          </w:tcPr>
          <w:p w:rsidR="009C2292" w:rsidRPr="00FD2CB4" w:rsidRDefault="009C2292" w:rsidP="009C2292">
            <w:pPr>
              <w:spacing w:after="0"/>
              <w:jc w:val="center"/>
              <w:rPr>
                <w:rFonts w:cs="Arial"/>
                <w:sz w:val="16"/>
                <w:szCs w:val="16"/>
              </w:rPr>
            </w:pPr>
          </w:p>
        </w:tc>
        <w:tc>
          <w:tcPr>
            <w:tcW w:w="445" w:type="pct"/>
            <w:vMerge/>
            <w:vAlign w:val="center"/>
          </w:tcPr>
          <w:p w:rsidR="009C2292" w:rsidRPr="00FD2CB4" w:rsidRDefault="009C2292" w:rsidP="009C2292">
            <w:pPr>
              <w:spacing w:after="0"/>
              <w:jc w:val="center"/>
              <w:rPr>
                <w:rFonts w:cs="Arial"/>
                <w:sz w:val="16"/>
                <w:szCs w:val="16"/>
              </w:rPr>
            </w:pPr>
          </w:p>
        </w:tc>
      </w:tr>
      <w:tr w:rsidR="00D61A00" w:rsidRPr="00FD2CB4" w:rsidTr="00D61A00">
        <w:trPr>
          <w:trHeight w:val="441"/>
          <w:jc w:val="center"/>
        </w:trPr>
        <w:tc>
          <w:tcPr>
            <w:tcW w:w="178" w:type="pct"/>
            <w:vMerge w:val="restart"/>
            <w:textDirection w:val="btLr"/>
            <w:vAlign w:val="center"/>
          </w:tcPr>
          <w:p w:rsidR="00D61A00" w:rsidRPr="00FD2CB4" w:rsidRDefault="00D61A00" w:rsidP="009D121E">
            <w:pPr>
              <w:spacing w:after="0"/>
              <w:ind w:left="113" w:right="113"/>
              <w:jc w:val="center"/>
              <w:rPr>
                <w:rFonts w:cs="Arial"/>
                <w:sz w:val="16"/>
                <w:szCs w:val="16"/>
              </w:rPr>
            </w:pPr>
            <w:r w:rsidRPr="00FD2CB4">
              <w:rPr>
                <w:rFonts w:cs="Arial"/>
                <w:sz w:val="16"/>
                <w:szCs w:val="16"/>
              </w:rPr>
              <w:t>Remblais</w:t>
            </w:r>
          </w:p>
        </w:tc>
        <w:tc>
          <w:tcPr>
            <w:tcW w:w="868" w:type="pct"/>
            <w:vAlign w:val="center"/>
          </w:tcPr>
          <w:p w:rsidR="00D61A00" w:rsidRPr="00FD2CB4" w:rsidRDefault="00D61A00" w:rsidP="009C2292">
            <w:pPr>
              <w:spacing w:after="0"/>
              <w:jc w:val="center"/>
              <w:rPr>
                <w:rFonts w:cs="Arial"/>
                <w:sz w:val="16"/>
                <w:szCs w:val="16"/>
              </w:rPr>
            </w:pPr>
            <w:r w:rsidRPr="00FD2CB4">
              <w:rPr>
                <w:rFonts w:cs="Arial"/>
                <w:sz w:val="16"/>
                <w:szCs w:val="16"/>
              </w:rPr>
              <w:t>Cadmium</w:t>
            </w:r>
          </w:p>
        </w:tc>
        <w:tc>
          <w:tcPr>
            <w:tcW w:w="327"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Sol</w:t>
            </w:r>
          </w:p>
        </w:tc>
        <w:tc>
          <w:tcPr>
            <w:tcW w:w="352"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Remblais</w:t>
            </w:r>
          </w:p>
        </w:tc>
        <w:tc>
          <w:tcPr>
            <w:tcW w:w="354"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NDT</w:t>
            </w:r>
          </w:p>
        </w:tc>
        <w:tc>
          <w:tcPr>
            <w:tcW w:w="345"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ML</w:t>
            </w:r>
          </w:p>
        </w:tc>
        <w:tc>
          <w:tcPr>
            <w:tcW w:w="302"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2520</w:t>
            </w:r>
          </w:p>
        </w:tc>
        <w:tc>
          <w:tcPr>
            <w:tcW w:w="541"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0</w:t>
            </w:r>
            <w:r w:rsidR="00CA390E">
              <w:rPr>
                <w:rFonts w:cs="Arial"/>
                <w:sz w:val="16"/>
                <w:szCs w:val="16"/>
              </w:rPr>
              <w:t>.1</w:t>
            </w:r>
            <w:r w:rsidRPr="00FD2CB4">
              <w:rPr>
                <w:rFonts w:cs="Arial"/>
                <w:sz w:val="16"/>
                <w:szCs w:val="16"/>
              </w:rPr>
              <w:t>-1</w:t>
            </w:r>
          </w:p>
        </w:tc>
        <w:tc>
          <w:tcPr>
            <w:tcW w:w="295" w:type="pct"/>
            <w:vMerge w:val="restart"/>
            <w:vAlign w:val="center"/>
          </w:tcPr>
          <w:p w:rsidR="00D61A00" w:rsidRPr="00FD2CB4" w:rsidRDefault="00CA390E" w:rsidP="009C2292">
            <w:pPr>
              <w:spacing w:after="0"/>
              <w:jc w:val="center"/>
              <w:rPr>
                <w:rFonts w:cs="Arial"/>
                <w:sz w:val="16"/>
                <w:szCs w:val="16"/>
              </w:rPr>
            </w:pPr>
            <w:r>
              <w:rPr>
                <w:rFonts w:cs="Arial"/>
                <w:sz w:val="16"/>
                <w:szCs w:val="16"/>
              </w:rPr>
              <w:t>2268</w:t>
            </w: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15</w:t>
            </w:r>
          </w:p>
        </w:tc>
        <w:tc>
          <w:tcPr>
            <w:tcW w:w="486"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Cmoyenne+2σ</w:t>
            </w:r>
          </w:p>
        </w:tc>
        <w:tc>
          <w:tcPr>
            <w:tcW w:w="445" w:type="pct"/>
            <w:vMerge w:val="restart"/>
            <w:vAlign w:val="center"/>
          </w:tcPr>
          <w:p w:rsidR="00D61A00" w:rsidRPr="00FD2CB4" w:rsidRDefault="00D61A00" w:rsidP="009C2292">
            <w:pPr>
              <w:spacing w:after="0"/>
              <w:jc w:val="center"/>
              <w:rPr>
                <w:rFonts w:cs="Arial"/>
                <w:sz w:val="16"/>
                <w:szCs w:val="16"/>
              </w:rPr>
            </w:pPr>
            <w:r w:rsidRPr="00D61A00">
              <w:rPr>
                <w:rFonts w:cs="Arial"/>
                <w:sz w:val="16"/>
                <w:szCs w:val="16"/>
              </w:rPr>
              <w:t>Exercice EDR SH juin 2017.xlsm</w:t>
            </w: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r w:rsidRPr="00FD2CB4">
              <w:rPr>
                <w:rFonts w:cs="Arial"/>
                <w:sz w:val="16"/>
                <w:szCs w:val="16"/>
              </w:rPr>
              <w:t>Chrome</w:t>
            </w:r>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ign w:val="center"/>
          </w:tcPr>
          <w:p w:rsidR="00D61A00" w:rsidRPr="00FD2CB4" w:rsidRDefault="00D61A00" w:rsidP="009C2292">
            <w:pPr>
              <w:spacing w:after="0"/>
              <w:jc w:val="center"/>
              <w:rPr>
                <w:rFonts w:cs="Arial"/>
                <w:sz w:val="16"/>
                <w:szCs w:val="16"/>
              </w:rPr>
            </w:pP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114</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r w:rsidRPr="00FD2CB4">
              <w:rPr>
                <w:rFonts w:cs="Arial"/>
                <w:sz w:val="16"/>
                <w:szCs w:val="16"/>
              </w:rPr>
              <w:t>Cuivre</w:t>
            </w:r>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ign w:val="center"/>
          </w:tcPr>
          <w:p w:rsidR="00D61A00" w:rsidRPr="00FD2CB4" w:rsidRDefault="00D61A00" w:rsidP="009C2292">
            <w:pPr>
              <w:spacing w:after="0"/>
              <w:jc w:val="center"/>
              <w:rPr>
                <w:rFonts w:cs="Arial"/>
                <w:sz w:val="16"/>
                <w:szCs w:val="16"/>
              </w:rPr>
            </w:pP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118</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r w:rsidRPr="00FD2CB4">
              <w:rPr>
                <w:rFonts w:cs="Arial"/>
                <w:sz w:val="16"/>
                <w:szCs w:val="16"/>
              </w:rPr>
              <w:t>Plomb</w:t>
            </w:r>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ign w:val="center"/>
          </w:tcPr>
          <w:p w:rsidR="00D61A00" w:rsidRPr="00FD2CB4" w:rsidRDefault="00D61A00" w:rsidP="009C2292">
            <w:pPr>
              <w:spacing w:after="0"/>
              <w:jc w:val="center"/>
              <w:rPr>
                <w:rFonts w:cs="Arial"/>
                <w:sz w:val="16"/>
                <w:szCs w:val="16"/>
              </w:rPr>
            </w:pP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214</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r w:rsidRPr="00FD2CB4">
              <w:rPr>
                <w:rFonts w:cs="Arial"/>
                <w:sz w:val="16"/>
                <w:szCs w:val="16"/>
              </w:rPr>
              <w:t>Zinc</w:t>
            </w:r>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ign w:val="center"/>
          </w:tcPr>
          <w:p w:rsidR="00D61A00" w:rsidRPr="00FD2CB4" w:rsidRDefault="00D61A00" w:rsidP="009C2292">
            <w:pPr>
              <w:spacing w:after="0"/>
              <w:jc w:val="center"/>
              <w:rPr>
                <w:rFonts w:cs="Arial"/>
                <w:sz w:val="16"/>
                <w:szCs w:val="16"/>
              </w:rPr>
            </w:pP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226</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proofErr w:type="spellStart"/>
            <w:r w:rsidRPr="00FD2CB4">
              <w:rPr>
                <w:rFonts w:cs="Arial"/>
                <w:sz w:val="16"/>
                <w:szCs w:val="16"/>
              </w:rPr>
              <w:t>benzo</w:t>
            </w:r>
            <w:proofErr w:type="spellEnd"/>
            <w:r w:rsidRPr="00FD2CB4">
              <w:rPr>
                <w:rFonts w:cs="Arial"/>
                <w:sz w:val="16"/>
                <w:szCs w:val="16"/>
              </w:rPr>
              <w:t>(b</w:t>
            </w:r>
            <w:proofErr w:type="gramStart"/>
            <w:r w:rsidRPr="00FD2CB4">
              <w:rPr>
                <w:rFonts w:cs="Arial"/>
                <w:sz w:val="16"/>
                <w:szCs w:val="16"/>
              </w:rPr>
              <w:t>)</w:t>
            </w:r>
            <w:proofErr w:type="spellStart"/>
            <w:r w:rsidRPr="00FD2CB4">
              <w:rPr>
                <w:rFonts w:cs="Arial"/>
                <w:sz w:val="16"/>
                <w:szCs w:val="16"/>
              </w:rPr>
              <w:t>fluoranthène</w:t>
            </w:r>
            <w:proofErr w:type="spellEnd"/>
            <w:proofErr w:type="gramEnd"/>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HAP</w:t>
            </w: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1.2</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proofErr w:type="spellStart"/>
            <w:r w:rsidRPr="00FD2CB4">
              <w:rPr>
                <w:rFonts w:cs="Arial"/>
                <w:sz w:val="16"/>
                <w:szCs w:val="16"/>
              </w:rPr>
              <w:t>benzo</w:t>
            </w:r>
            <w:proofErr w:type="spellEnd"/>
            <w:r w:rsidRPr="00FD2CB4">
              <w:rPr>
                <w:rFonts w:cs="Arial"/>
                <w:sz w:val="16"/>
                <w:szCs w:val="16"/>
              </w:rPr>
              <w:t>(k</w:t>
            </w:r>
            <w:proofErr w:type="gramStart"/>
            <w:r w:rsidRPr="00FD2CB4">
              <w:rPr>
                <w:rFonts w:cs="Arial"/>
                <w:sz w:val="16"/>
                <w:szCs w:val="16"/>
              </w:rPr>
              <w:t>)</w:t>
            </w:r>
            <w:proofErr w:type="spellStart"/>
            <w:r w:rsidRPr="00FD2CB4">
              <w:rPr>
                <w:rFonts w:cs="Arial"/>
                <w:sz w:val="16"/>
                <w:szCs w:val="16"/>
              </w:rPr>
              <w:t>fluoranthène</w:t>
            </w:r>
            <w:proofErr w:type="spellEnd"/>
            <w:proofErr w:type="gramEnd"/>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ign w:val="center"/>
          </w:tcPr>
          <w:p w:rsidR="00D61A00" w:rsidRPr="00FD2CB4" w:rsidRDefault="00D61A00" w:rsidP="009C2292">
            <w:pPr>
              <w:spacing w:after="0"/>
              <w:jc w:val="center"/>
              <w:rPr>
                <w:rFonts w:cs="Arial"/>
                <w:sz w:val="16"/>
                <w:szCs w:val="16"/>
              </w:rPr>
            </w:pP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4.6</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A353E8" w:rsidRDefault="00D61A00" w:rsidP="009C2292">
            <w:pPr>
              <w:spacing w:after="0"/>
              <w:jc w:val="center"/>
              <w:rPr>
                <w:rFonts w:cs="Arial"/>
                <w:sz w:val="16"/>
                <w:szCs w:val="16"/>
                <w:lang w:val="en-GB"/>
              </w:rPr>
            </w:pPr>
            <w:proofErr w:type="spellStart"/>
            <w:r w:rsidRPr="00A353E8">
              <w:rPr>
                <w:rFonts w:cs="Arial"/>
                <w:sz w:val="16"/>
                <w:szCs w:val="16"/>
                <w:lang w:val="en-GB"/>
              </w:rPr>
              <w:t>benzo</w:t>
            </w:r>
            <w:proofErr w:type="spellEnd"/>
            <w:r w:rsidRPr="00A353E8">
              <w:rPr>
                <w:rFonts w:cs="Arial"/>
                <w:sz w:val="16"/>
                <w:szCs w:val="16"/>
                <w:lang w:val="en-GB"/>
              </w:rPr>
              <w:t>(</w:t>
            </w:r>
            <w:proofErr w:type="spellStart"/>
            <w:r w:rsidRPr="00A353E8">
              <w:rPr>
                <w:rFonts w:cs="Arial"/>
                <w:sz w:val="16"/>
                <w:szCs w:val="16"/>
                <w:lang w:val="en-GB"/>
              </w:rPr>
              <w:t>g,h,i</w:t>
            </w:r>
            <w:proofErr w:type="spellEnd"/>
            <w:r w:rsidRPr="00A353E8">
              <w:rPr>
                <w:rFonts w:cs="Arial"/>
                <w:sz w:val="16"/>
                <w:szCs w:val="16"/>
                <w:lang w:val="en-GB"/>
              </w:rPr>
              <w:t>)</w:t>
            </w:r>
            <w:proofErr w:type="spellStart"/>
            <w:r w:rsidRPr="00A353E8">
              <w:rPr>
                <w:rFonts w:cs="Arial"/>
                <w:sz w:val="16"/>
                <w:szCs w:val="16"/>
                <w:lang w:val="en-GB"/>
              </w:rPr>
              <w:t>pérylène</w:t>
            </w:r>
            <w:proofErr w:type="spellEnd"/>
          </w:p>
        </w:tc>
        <w:tc>
          <w:tcPr>
            <w:tcW w:w="327" w:type="pct"/>
            <w:vMerge/>
            <w:vAlign w:val="center"/>
          </w:tcPr>
          <w:p w:rsidR="00D61A00" w:rsidRPr="00A353E8" w:rsidRDefault="00D61A00" w:rsidP="009C2292">
            <w:pPr>
              <w:spacing w:after="0"/>
              <w:jc w:val="center"/>
              <w:rPr>
                <w:rFonts w:cs="Arial"/>
                <w:sz w:val="16"/>
                <w:szCs w:val="16"/>
                <w:lang w:val="en-GB"/>
              </w:rPr>
            </w:pPr>
          </w:p>
        </w:tc>
        <w:tc>
          <w:tcPr>
            <w:tcW w:w="352" w:type="pct"/>
            <w:vMerge/>
            <w:vAlign w:val="center"/>
          </w:tcPr>
          <w:p w:rsidR="00D61A00" w:rsidRPr="00A353E8" w:rsidRDefault="00D61A00" w:rsidP="009C2292">
            <w:pPr>
              <w:spacing w:after="0"/>
              <w:jc w:val="center"/>
              <w:rPr>
                <w:rFonts w:cs="Arial"/>
                <w:sz w:val="16"/>
                <w:szCs w:val="16"/>
                <w:lang w:val="en-GB"/>
              </w:rPr>
            </w:pPr>
          </w:p>
        </w:tc>
        <w:tc>
          <w:tcPr>
            <w:tcW w:w="354" w:type="pct"/>
            <w:vMerge/>
            <w:vAlign w:val="center"/>
          </w:tcPr>
          <w:p w:rsidR="00D61A00" w:rsidRPr="00A353E8" w:rsidRDefault="00D61A00" w:rsidP="009C2292">
            <w:pPr>
              <w:spacing w:after="0"/>
              <w:jc w:val="center"/>
              <w:rPr>
                <w:rFonts w:cs="Arial"/>
                <w:sz w:val="16"/>
                <w:szCs w:val="16"/>
                <w:lang w:val="en-GB"/>
              </w:rPr>
            </w:pPr>
          </w:p>
        </w:tc>
        <w:tc>
          <w:tcPr>
            <w:tcW w:w="345" w:type="pct"/>
            <w:vMerge/>
            <w:vAlign w:val="center"/>
          </w:tcPr>
          <w:p w:rsidR="00D61A00" w:rsidRPr="00A353E8" w:rsidRDefault="00D61A00" w:rsidP="009C2292">
            <w:pPr>
              <w:spacing w:after="0"/>
              <w:jc w:val="center"/>
              <w:rPr>
                <w:rFonts w:cs="Arial"/>
                <w:sz w:val="16"/>
                <w:szCs w:val="16"/>
                <w:lang w:val="en-GB"/>
              </w:rPr>
            </w:pPr>
          </w:p>
        </w:tc>
        <w:tc>
          <w:tcPr>
            <w:tcW w:w="302" w:type="pct"/>
            <w:vMerge/>
            <w:vAlign w:val="center"/>
          </w:tcPr>
          <w:p w:rsidR="00D61A00" w:rsidRPr="00A353E8" w:rsidRDefault="00D61A00" w:rsidP="009C2292">
            <w:pPr>
              <w:spacing w:after="0"/>
              <w:jc w:val="center"/>
              <w:rPr>
                <w:rFonts w:cs="Arial"/>
                <w:sz w:val="16"/>
                <w:szCs w:val="16"/>
                <w:lang w:val="en-GB"/>
              </w:rPr>
            </w:pPr>
          </w:p>
        </w:tc>
        <w:tc>
          <w:tcPr>
            <w:tcW w:w="541" w:type="pct"/>
            <w:vMerge/>
            <w:vAlign w:val="center"/>
          </w:tcPr>
          <w:p w:rsidR="00D61A00" w:rsidRPr="00A353E8" w:rsidRDefault="00D61A00" w:rsidP="009C2292">
            <w:pPr>
              <w:spacing w:after="0"/>
              <w:jc w:val="center"/>
              <w:rPr>
                <w:rFonts w:cs="Arial"/>
                <w:sz w:val="16"/>
                <w:szCs w:val="16"/>
                <w:lang w:val="en-GB"/>
              </w:rPr>
            </w:pPr>
          </w:p>
        </w:tc>
        <w:tc>
          <w:tcPr>
            <w:tcW w:w="295" w:type="pct"/>
            <w:vMerge/>
            <w:vAlign w:val="center"/>
          </w:tcPr>
          <w:p w:rsidR="00D61A00" w:rsidRPr="00A353E8" w:rsidRDefault="00D61A00" w:rsidP="009C2292">
            <w:pPr>
              <w:spacing w:after="0"/>
              <w:jc w:val="center"/>
              <w:rPr>
                <w:rFonts w:cs="Arial"/>
                <w:sz w:val="16"/>
                <w:szCs w:val="16"/>
                <w:lang w:val="en-GB"/>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4.9</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proofErr w:type="spellStart"/>
            <w:r w:rsidRPr="00FD2CB4">
              <w:rPr>
                <w:rFonts w:cs="Arial"/>
                <w:sz w:val="16"/>
                <w:szCs w:val="16"/>
              </w:rPr>
              <w:t>benzo</w:t>
            </w:r>
            <w:proofErr w:type="spellEnd"/>
            <w:r w:rsidRPr="00FD2CB4">
              <w:rPr>
                <w:rFonts w:cs="Arial"/>
                <w:sz w:val="16"/>
                <w:szCs w:val="16"/>
              </w:rPr>
              <w:t>(a)pyrène</w:t>
            </w:r>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ign w:val="center"/>
          </w:tcPr>
          <w:p w:rsidR="00D61A00" w:rsidRPr="00FD2CB4" w:rsidRDefault="00D61A00" w:rsidP="009C2292">
            <w:pPr>
              <w:spacing w:after="0"/>
              <w:jc w:val="center"/>
              <w:rPr>
                <w:rFonts w:cs="Arial"/>
                <w:sz w:val="16"/>
                <w:szCs w:val="16"/>
              </w:rPr>
            </w:pP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1.2</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proofErr w:type="spellStart"/>
            <w:proofErr w:type="gramStart"/>
            <w:r w:rsidRPr="00FD2CB4">
              <w:rPr>
                <w:rFonts w:cs="Arial"/>
                <w:sz w:val="16"/>
                <w:szCs w:val="16"/>
              </w:rPr>
              <w:t>indéno</w:t>
            </w:r>
            <w:proofErr w:type="spellEnd"/>
            <w:r w:rsidRPr="00FD2CB4">
              <w:rPr>
                <w:rFonts w:cs="Arial"/>
                <w:sz w:val="16"/>
                <w:szCs w:val="16"/>
              </w:rPr>
              <w:t>(</w:t>
            </w:r>
            <w:proofErr w:type="gramEnd"/>
            <w:r w:rsidRPr="00FD2CB4">
              <w:rPr>
                <w:rFonts w:cs="Arial"/>
                <w:sz w:val="16"/>
                <w:szCs w:val="16"/>
              </w:rPr>
              <w:t>1,2,3-</w:t>
            </w:r>
            <w:proofErr w:type="spellStart"/>
            <w:r w:rsidRPr="00FD2CB4">
              <w:rPr>
                <w:rFonts w:cs="Arial"/>
                <w:sz w:val="16"/>
                <w:szCs w:val="16"/>
              </w:rPr>
              <w:t>c,d</w:t>
            </w:r>
            <w:proofErr w:type="spellEnd"/>
            <w:r w:rsidRPr="00FD2CB4">
              <w:rPr>
                <w:rFonts w:cs="Arial"/>
                <w:sz w:val="16"/>
                <w:szCs w:val="16"/>
              </w:rPr>
              <w:t>)pyrène</w:t>
            </w:r>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ign w:val="center"/>
          </w:tcPr>
          <w:p w:rsidR="00D61A00" w:rsidRPr="00FD2CB4" w:rsidRDefault="00D61A00" w:rsidP="009C2292">
            <w:pPr>
              <w:spacing w:after="0"/>
              <w:jc w:val="center"/>
              <w:rPr>
                <w:rFonts w:cs="Arial"/>
                <w:sz w:val="16"/>
                <w:szCs w:val="16"/>
              </w:rPr>
            </w:pP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1.4</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restart"/>
            <w:textDirection w:val="btLr"/>
            <w:vAlign w:val="center"/>
          </w:tcPr>
          <w:p w:rsidR="00D61A00" w:rsidRPr="00FD2CB4" w:rsidRDefault="00D61A00" w:rsidP="00240FB8">
            <w:pPr>
              <w:spacing w:after="0"/>
              <w:ind w:left="113" w:right="113"/>
              <w:jc w:val="center"/>
              <w:rPr>
                <w:rFonts w:cs="Arial"/>
                <w:sz w:val="16"/>
                <w:szCs w:val="16"/>
              </w:rPr>
            </w:pPr>
            <w:r w:rsidRPr="00FD2CB4">
              <w:rPr>
                <w:rFonts w:cs="Arial"/>
                <w:sz w:val="16"/>
                <w:szCs w:val="16"/>
              </w:rPr>
              <w:t>Tache H</w:t>
            </w:r>
            <w:r w:rsidR="00D27ADB">
              <w:rPr>
                <w:rFonts w:cs="Arial"/>
                <w:sz w:val="16"/>
                <w:szCs w:val="16"/>
              </w:rPr>
              <w:t>P</w:t>
            </w:r>
          </w:p>
        </w:tc>
        <w:tc>
          <w:tcPr>
            <w:tcW w:w="868" w:type="pct"/>
            <w:vAlign w:val="center"/>
          </w:tcPr>
          <w:p w:rsidR="00D61A00" w:rsidRPr="00FD2CB4" w:rsidRDefault="00D61A00" w:rsidP="009C2292">
            <w:pPr>
              <w:spacing w:after="0"/>
              <w:jc w:val="center"/>
              <w:rPr>
                <w:rFonts w:cs="Arial"/>
                <w:sz w:val="16"/>
                <w:szCs w:val="16"/>
              </w:rPr>
            </w:pPr>
            <w:r w:rsidRPr="00FD2CB4">
              <w:rPr>
                <w:rFonts w:cs="Arial"/>
                <w:sz w:val="16"/>
                <w:szCs w:val="16"/>
              </w:rPr>
              <w:t>Hydrocarbures pétroliers Fraction EC &gt;10-12</w:t>
            </w:r>
          </w:p>
        </w:tc>
        <w:tc>
          <w:tcPr>
            <w:tcW w:w="327"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Sol</w:t>
            </w:r>
          </w:p>
        </w:tc>
        <w:tc>
          <w:tcPr>
            <w:tcW w:w="352" w:type="pct"/>
            <w:vMerge w:val="restart"/>
            <w:vAlign w:val="center"/>
          </w:tcPr>
          <w:p w:rsidR="00D61A00" w:rsidRPr="00FD2CB4" w:rsidRDefault="0069697E" w:rsidP="009C2292">
            <w:pPr>
              <w:spacing w:after="0"/>
              <w:jc w:val="center"/>
              <w:rPr>
                <w:rFonts w:cs="Arial"/>
                <w:sz w:val="16"/>
                <w:szCs w:val="16"/>
              </w:rPr>
            </w:pPr>
            <w:r>
              <w:rPr>
                <w:rFonts w:cs="Arial"/>
                <w:sz w:val="16"/>
                <w:szCs w:val="16"/>
              </w:rPr>
              <w:t>Remblais et sol naturel</w:t>
            </w:r>
          </w:p>
        </w:tc>
        <w:tc>
          <w:tcPr>
            <w:tcW w:w="354"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DT</w:t>
            </w:r>
          </w:p>
        </w:tc>
        <w:tc>
          <w:tcPr>
            <w:tcW w:w="345"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H</w:t>
            </w:r>
            <w:r w:rsidR="00D27ADB">
              <w:rPr>
                <w:rFonts w:cs="Arial"/>
                <w:sz w:val="16"/>
                <w:szCs w:val="16"/>
              </w:rPr>
              <w:t>P</w:t>
            </w:r>
          </w:p>
        </w:tc>
        <w:tc>
          <w:tcPr>
            <w:tcW w:w="302" w:type="pct"/>
            <w:vMerge w:val="restart"/>
            <w:vAlign w:val="center"/>
          </w:tcPr>
          <w:p w:rsidR="00D61A00" w:rsidRPr="00FD2CB4" w:rsidRDefault="00D61A00" w:rsidP="009C2292">
            <w:pPr>
              <w:spacing w:after="0"/>
              <w:jc w:val="center"/>
              <w:rPr>
                <w:rFonts w:cs="Arial"/>
                <w:sz w:val="16"/>
                <w:szCs w:val="16"/>
              </w:rPr>
            </w:pPr>
            <w:r w:rsidRPr="00FD2CB4">
              <w:rPr>
                <w:rFonts w:cs="Arial"/>
                <w:sz w:val="16"/>
                <w:szCs w:val="16"/>
              </w:rPr>
              <w:t>177</w:t>
            </w:r>
          </w:p>
        </w:tc>
        <w:tc>
          <w:tcPr>
            <w:tcW w:w="541" w:type="pct"/>
            <w:vMerge w:val="restart"/>
            <w:vAlign w:val="center"/>
          </w:tcPr>
          <w:p w:rsidR="00D61A00" w:rsidRPr="00FD2CB4" w:rsidRDefault="00D61A00" w:rsidP="00CA390E">
            <w:pPr>
              <w:spacing w:after="0"/>
              <w:jc w:val="center"/>
              <w:rPr>
                <w:rFonts w:cs="Arial"/>
                <w:sz w:val="16"/>
                <w:szCs w:val="16"/>
              </w:rPr>
            </w:pPr>
            <w:r w:rsidRPr="00FD2CB4">
              <w:rPr>
                <w:rFonts w:cs="Arial"/>
                <w:sz w:val="16"/>
                <w:szCs w:val="16"/>
              </w:rPr>
              <w:t>0</w:t>
            </w:r>
            <w:r w:rsidR="00CA390E">
              <w:rPr>
                <w:rFonts w:cs="Arial"/>
                <w:sz w:val="16"/>
                <w:szCs w:val="16"/>
              </w:rPr>
              <w:t>.1</w:t>
            </w:r>
            <w:r w:rsidRPr="00FD2CB4">
              <w:rPr>
                <w:rFonts w:cs="Arial"/>
                <w:sz w:val="16"/>
                <w:szCs w:val="16"/>
              </w:rPr>
              <w:t>-</w:t>
            </w:r>
            <w:r w:rsidR="00CA390E">
              <w:rPr>
                <w:rFonts w:cs="Arial"/>
                <w:sz w:val="16"/>
                <w:szCs w:val="16"/>
              </w:rPr>
              <w:t>2</w:t>
            </w:r>
          </w:p>
        </w:tc>
        <w:tc>
          <w:tcPr>
            <w:tcW w:w="295" w:type="pct"/>
            <w:vMerge w:val="restart"/>
            <w:vAlign w:val="center"/>
          </w:tcPr>
          <w:p w:rsidR="00D61A00" w:rsidRPr="00FD2CB4" w:rsidRDefault="00CA390E" w:rsidP="009C2292">
            <w:pPr>
              <w:spacing w:after="0"/>
              <w:jc w:val="center"/>
              <w:rPr>
                <w:rFonts w:cs="Arial"/>
                <w:sz w:val="16"/>
                <w:szCs w:val="16"/>
              </w:rPr>
            </w:pPr>
            <w:r>
              <w:rPr>
                <w:rFonts w:cs="Arial"/>
                <w:sz w:val="16"/>
                <w:szCs w:val="16"/>
              </w:rPr>
              <w:t>336</w:t>
            </w: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25</w:t>
            </w:r>
          </w:p>
        </w:tc>
        <w:tc>
          <w:tcPr>
            <w:tcW w:w="486" w:type="pct"/>
            <w:vMerge w:val="restart"/>
            <w:vAlign w:val="center"/>
          </w:tcPr>
          <w:p w:rsidR="00D61A00" w:rsidRPr="00FD2CB4" w:rsidRDefault="00D61A00" w:rsidP="009C2292">
            <w:pPr>
              <w:spacing w:after="0"/>
              <w:jc w:val="center"/>
              <w:rPr>
                <w:rFonts w:cs="Arial"/>
                <w:sz w:val="16"/>
                <w:szCs w:val="16"/>
              </w:rPr>
            </w:pPr>
            <w:proofErr w:type="spellStart"/>
            <w:r w:rsidRPr="00FD2CB4">
              <w:rPr>
                <w:rFonts w:cs="Arial"/>
                <w:sz w:val="16"/>
                <w:szCs w:val="16"/>
              </w:rPr>
              <w:t>Cmax</w:t>
            </w:r>
            <w:proofErr w:type="spellEnd"/>
          </w:p>
        </w:tc>
        <w:tc>
          <w:tcPr>
            <w:tcW w:w="445" w:type="pct"/>
            <w:vMerge w:val="restart"/>
            <w:vAlign w:val="center"/>
          </w:tcPr>
          <w:p w:rsidR="00D61A00" w:rsidRPr="00FD2CB4" w:rsidRDefault="00D61A00" w:rsidP="009C2292">
            <w:pPr>
              <w:spacing w:after="0"/>
              <w:jc w:val="center"/>
              <w:rPr>
                <w:rFonts w:cs="Arial"/>
                <w:sz w:val="16"/>
                <w:szCs w:val="16"/>
              </w:rPr>
            </w:pPr>
            <w:r w:rsidRPr="00D61A00">
              <w:rPr>
                <w:rFonts w:cs="Arial"/>
                <w:sz w:val="16"/>
                <w:szCs w:val="16"/>
              </w:rPr>
              <w:t>Exercice EDR SH juin 2017.xlsm</w:t>
            </w: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r w:rsidRPr="00FD2CB4">
              <w:rPr>
                <w:rFonts w:cs="Arial"/>
                <w:sz w:val="16"/>
                <w:szCs w:val="16"/>
              </w:rPr>
              <w:t>Hydrocarbures pétroliers Fraction EC &gt; 12-16</w:t>
            </w:r>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ign w:val="center"/>
          </w:tcPr>
          <w:p w:rsidR="00D61A00" w:rsidRPr="00FD2CB4" w:rsidRDefault="00D61A00" w:rsidP="009C2292">
            <w:pPr>
              <w:spacing w:after="0"/>
              <w:jc w:val="center"/>
              <w:rPr>
                <w:rFonts w:cs="Arial"/>
                <w:sz w:val="16"/>
                <w:szCs w:val="16"/>
              </w:rPr>
            </w:pP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1325</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r w:rsidRPr="00FD2CB4">
              <w:rPr>
                <w:rFonts w:cs="Arial"/>
                <w:sz w:val="16"/>
                <w:szCs w:val="16"/>
              </w:rPr>
              <w:t>Hydrocarbures pétroliers Fraction EC &gt; 16-21</w:t>
            </w:r>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ign w:val="center"/>
          </w:tcPr>
          <w:p w:rsidR="00D61A00" w:rsidRPr="00FD2CB4" w:rsidRDefault="00D61A00" w:rsidP="009C2292">
            <w:pPr>
              <w:spacing w:after="0"/>
              <w:jc w:val="center"/>
              <w:rPr>
                <w:rFonts w:cs="Arial"/>
                <w:sz w:val="16"/>
                <w:szCs w:val="16"/>
              </w:rPr>
            </w:pP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4500</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r w:rsidR="00D61A00" w:rsidRPr="00FD2CB4" w:rsidTr="00D61A00">
        <w:trPr>
          <w:trHeight w:val="441"/>
          <w:jc w:val="center"/>
        </w:trPr>
        <w:tc>
          <w:tcPr>
            <w:tcW w:w="178" w:type="pct"/>
            <w:vMerge/>
            <w:vAlign w:val="center"/>
          </w:tcPr>
          <w:p w:rsidR="00D61A00" w:rsidRPr="00FD2CB4" w:rsidRDefault="00D61A00" w:rsidP="009C2292">
            <w:pPr>
              <w:spacing w:after="0"/>
              <w:jc w:val="center"/>
              <w:rPr>
                <w:rFonts w:cs="Arial"/>
                <w:sz w:val="16"/>
                <w:szCs w:val="16"/>
              </w:rPr>
            </w:pPr>
          </w:p>
        </w:tc>
        <w:tc>
          <w:tcPr>
            <w:tcW w:w="868" w:type="pct"/>
            <w:vAlign w:val="center"/>
          </w:tcPr>
          <w:p w:rsidR="00D61A00" w:rsidRPr="00FD2CB4" w:rsidRDefault="00D61A00" w:rsidP="009C2292">
            <w:pPr>
              <w:spacing w:after="0"/>
              <w:jc w:val="center"/>
              <w:rPr>
                <w:rFonts w:cs="Arial"/>
                <w:sz w:val="16"/>
                <w:szCs w:val="16"/>
              </w:rPr>
            </w:pPr>
            <w:r w:rsidRPr="00FD2CB4">
              <w:rPr>
                <w:rFonts w:cs="Arial"/>
                <w:sz w:val="16"/>
                <w:szCs w:val="16"/>
              </w:rPr>
              <w:t>Hydrocarbures pétroliers Fraction EC &gt; 21-35</w:t>
            </w:r>
          </w:p>
        </w:tc>
        <w:tc>
          <w:tcPr>
            <w:tcW w:w="327" w:type="pct"/>
            <w:vMerge/>
            <w:vAlign w:val="center"/>
          </w:tcPr>
          <w:p w:rsidR="00D61A00" w:rsidRPr="00FD2CB4" w:rsidRDefault="00D61A00" w:rsidP="009C2292">
            <w:pPr>
              <w:spacing w:after="0"/>
              <w:jc w:val="center"/>
              <w:rPr>
                <w:rFonts w:cs="Arial"/>
                <w:sz w:val="16"/>
                <w:szCs w:val="16"/>
              </w:rPr>
            </w:pPr>
          </w:p>
        </w:tc>
        <w:tc>
          <w:tcPr>
            <w:tcW w:w="352" w:type="pct"/>
            <w:vMerge/>
            <w:vAlign w:val="center"/>
          </w:tcPr>
          <w:p w:rsidR="00D61A00" w:rsidRPr="00FD2CB4" w:rsidRDefault="00D61A00" w:rsidP="009C2292">
            <w:pPr>
              <w:spacing w:after="0"/>
              <w:jc w:val="center"/>
              <w:rPr>
                <w:rFonts w:cs="Arial"/>
                <w:sz w:val="16"/>
                <w:szCs w:val="16"/>
              </w:rPr>
            </w:pPr>
          </w:p>
        </w:tc>
        <w:tc>
          <w:tcPr>
            <w:tcW w:w="354" w:type="pct"/>
            <w:vMerge/>
            <w:vAlign w:val="center"/>
          </w:tcPr>
          <w:p w:rsidR="00D61A00" w:rsidRPr="00FD2CB4" w:rsidRDefault="00D61A00" w:rsidP="009C2292">
            <w:pPr>
              <w:spacing w:after="0"/>
              <w:jc w:val="center"/>
              <w:rPr>
                <w:rFonts w:cs="Arial"/>
                <w:sz w:val="16"/>
                <w:szCs w:val="16"/>
              </w:rPr>
            </w:pPr>
          </w:p>
        </w:tc>
        <w:tc>
          <w:tcPr>
            <w:tcW w:w="345" w:type="pct"/>
            <w:vMerge/>
            <w:vAlign w:val="center"/>
          </w:tcPr>
          <w:p w:rsidR="00D61A00" w:rsidRPr="00FD2CB4" w:rsidRDefault="00D61A00" w:rsidP="009C2292">
            <w:pPr>
              <w:spacing w:after="0"/>
              <w:jc w:val="center"/>
              <w:rPr>
                <w:rFonts w:cs="Arial"/>
                <w:sz w:val="16"/>
                <w:szCs w:val="16"/>
              </w:rPr>
            </w:pPr>
          </w:p>
        </w:tc>
        <w:tc>
          <w:tcPr>
            <w:tcW w:w="302" w:type="pct"/>
            <w:vMerge/>
            <w:vAlign w:val="center"/>
          </w:tcPr>
          <w:p w:rsidR="00D61A00" w:rsidRPr="00FD2CB4" w:rsidRDefault="00D61A00" w:rsidP="009C2292">
            <w:pPr>
              <w:spacing w:after="0"/>
              <w:jc w:val="center"/>
              <w:rPr>
                <w:rFonts w:cs="Arial"/>
                <w:sz w:val="16"/>
                <w:szCs w:val="16"/>
              </w:rPr>
            </w:pPr>
          </w:p>
        </w:tc>
        <w:tc>
          <w:tcPr>
            <w:tcW w:w="541" w:type="pct"/>
            <w:vMerge/>
            <w:vAlign w:val="center"/>
          </w:tcPr>
          <w:p w:rsidR="00D61A00" w:rsidRPr="00FD2CB4" w:rsidRDefault="00D61A00" w:rsidP="009C2292">
            <w:pPr>
              <w:spacing w:after="0"/>
              <w:jc w:val="center"/>
              <w:rPr>
                <w:rFonts w:cs="Arial"/>
                <w:sz w:val="16"/>
                <w:szCs w:val="16"/>
              </w:rPr>
            </w:pPr>
          </w:p>
        </w:tc>
        <w:tc>
          <w:tcPr>
            <w:tcW w:w="295" w:type="pct"/>
            <w:vMerge/>
            <w:vAlign w:val="center"/>
          </w:tcPr>
          <w:p w:rsidR="00D61A00" w:rsidRPr="00FD2CB4" w:rsidRDefault="00D61A00" w:rsidP="009C2292">
            <w:pPr>
              <w:spacing w:after="0"/>
              <w:jc w:val="center"/>
              <w:rPr>
                <w:rFonts w:cs="Arial"/>
                <w:sz w:val="16"/>
                <w:szCs w:val="16"/>
              </w:rPr>
            </w:pPr>
          </w:p>
        </w:tc>
        <w:tc>
          <w:tcPr>
            <w:tcW w:w="507" w:type="pct"/>
            <w:vAlign w:val="center"/>
          </w:tcPr>
          <w:p w:rsidR="00D61A00" w:rsidRPr="00FD2CB4" w:rsidRDefault="00D61A00" w:rsidP="009C2292">
            <w:pPr>
              <w:spacing w:after="0"/>
              <w:jc w:val="center"/>
              <w:rPr>
                <w:rFonts w:cs="Arial"/>
                <w:sz w:val="16"/>
                <w:szCs w:val="16"/>
              </w:rPr>
            </w:pPr>
            <w:r w:rsidRPr="00FD2CB4">
              <w:rPr>
                <w:rFonts w:cs="Arial"/>
                <w:sz w:val="16"/>
                <w:szCs w:val="16"/>
              </w:rPr>
              <w:t>859</w:t>
            </w:r>
          </w:p>
        </w:tc>
        <w:tc>
          <w:tcPr>
            <w:tcW w:w="486" w:type="pct"/>
            <w:vMerge/>
            <w:vAlign w:val="center"/>
          </w:tcPr>
          <w:p w:rsidR="00D61A00" w:rsidRPr="00FD2CB4" w:rsidRDefault="00D61A00" w:rsidP="009C2292">
            <w:pPr>
              <w:spacing w:after="0"/>
              <w:jc w:val="center"/>
              <w:rPr>
                <w:rFonts w:cs="Arial"/>
                <w:sz w:val="16"/>
                <w:szCs w:val="16"/>
              </w:rPr>
            </w:pPr>
          </w:p>
        </w:tc>
        <w:tc>
          <w:tcPr>
            <w:tcW w:w="445" w:type="pct"/>
            <w:vMerge/>
            <w:vAlign w:val="center"/>
          </w:tcPr>
          <w:p w:rsidR="00D61A00" w:rsidRPr="00FD2CB4" w:rsidRDefault="00D61A00" w:rsidP="009C2292">
            <w:pPr>
              <w:spacing w:after="0"/>
              <w:jc w:val="center"/>
              <w:rPr>
                <w:rFonts w:cs="Arial"/>
                <w:sz w:val="16"/>
                <w:szCs w:val="16"/>
              </w:rPr>
            </w:pPr>
          </w:p>
        </w:tc>
      </w:tr>
    </w:tbl>
    <w:p w:rsidR="009C2292" w:rsidRDefault="009C2292" w:rsidP="00A11C08">
      <w:pPr>
        <w:pStyle w:val="Corpsdetexte"/>
        <w:spacing w:after="60"/>
        <w:ind w:left="284"/>
      </w:pPr>
    </w:p>
    <w:p w:rsidR="0058700E" w:rsidRPr="0058700E" w:rsidRDefault="004E1CE9" w:rsidP="00A11C08">
      <w:pPr>
        <w:pStyle w:val="Corpsdetexte"/>
        <w:spacing w:after="60"/>
        <w:ind w:left="284"/>
        <w:rPr>
          <w:iCs/>
        </w:rPr>
      </w:pPr>
      <w:r w:rsidRPr="00F006F4">
        <w:rPr>
          <w:i/>
          <w:iCs/>
        </w:rPr>
        <w:t>Tableau 4: Liste des zones de pollution soumises à l’ER</w:t>
      </w:r>
      <w:r w:rsidR="0058700E">
        <w:rPr>
          <w:i/>
          <w:iCs/>
        </w:rPr>
        <w:t xml:space="preserve"> (dépassement VS usage II)</w:t>
      </w:r>
      <w:r w:rsidR="0058700E">
        <w:t xml:space="preserve"> </w:t>
      </w:r>
    </w:p>
    <w:p w:rsidR="0058700E" w:rsidRDefault="0058700E" w:rsidP="0058700E">
      <w:pPr>
        <w:pStyle w:val="Corpsdetexte"/>
        <w:spacing w:after="60"/>
        <w:ind w:left="284"/>
        <w:sectPr w:rsidR="0058700E" w:rsidSect="009D121E">
          <w:pgSz w:w="16838" w:h="11906" w:orient="landscape"/>
          <w:pgMar w:top="1418" w:right="1418" w:bottom="1418" w:left="1418"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802"/>
        <w:gridCol w:w="990"/>
        <w:gridCol w:w="1050"/>
        <w:gridCol w:w="1041"/>
        <w:gridCol w:w="1134"/>
        <w:gridCol w:w="1047"/>
        <w:gridCol w:w="1370"/>
      </w:tblGrid>
      <w:tr w:rsidR="009C2292" w:rsidRPr="009C2292" w:rsidTr="009C2292">
        <w:trPr>
          <w:trHeight w:val="474"/>
          <w:jc w:val="center"/>
        </w:trPr>
        <w:tc>
          <w:tcPr>
            <w:tcW w:w="1373" w:type="dxa"/>
            <w:gridSpan w:val="2"/>
            <w:vAlign w:val="center"/>
          </w:tcPr>
          <w:p w:rsidR="009C2292" w:rsidRPr="009C2292" w:rsidRDefault="009C2292" w:rsidP="009C2292">
            <w:pPr>
              <w:spacing w:after="0"/>
              <w:jc w:val="center"/>
              <w:rPr>
                <w:strike/>
                <w:sz w:val="16"/>
                <w:szCs w:val="16"/>
              </w:rPr>
            </w:pPr>
            <w:r w:rsidRPr="009C2292">
              <w:rPr>
                <w:strike/>
                <w:sz w:val="16"/>
                <w:szCs w:val="16"/>
              </w:rPr>
              <w:lastRenderedPageBreak/>
              <w:t>Zone de pollution</w:t>
            </w:r>
          </w:p>
        </w:tc>
        <w:tc>
          <w:tcPr>
            <w:tcW w:w="990" w:type="dxa"/>
            <w:vMerge w:val="restart"/>
            <w:vAlign w:val="center"/>
          </w:tcPr>
          <w:p w:rsidR="009C2292" w:rsidRPr="009C2292" w:rsidRDefault="009C2292" w:rsidP="009C2292">
            <w:pPr>
              <w:spacing w:after="0"/>
              <w:jc w:val="center"/>
              <w:rPr>
                <w:strike/>
                <w:sz w:val="16"/>
                <w:szCs w:val="16"/>
              </w:rPr>
            </w:pPr>
            <w:r w:rsidRPr="009C2292">
              <w:rPr>
                <w:strike/>
                <w:sz w:val="16"/>
                <w:szCs w:val="16"/>
              </w:rPr>
              <w:t>Type de pollution (DT/NDT)</w:t>
            </w:r>
          </w:p>
        </w:tc>
        <w:tc>
          <w:tcPr>
            <w:tcW w:w="1050" w:type="dxa"/>
            <w:vMerge w:val="restart"/>
            <w:vAlign w:val="center"/>
          </w:tcPr>
          <w:p w:rsidR="009C2292" w:rsidRPr="009C2292" w:rsidRDefault="009C2292" w:rsidP="009C2292">
            <w:pPr>
              <w:spacing w:after="0"/>
              <w:jc w:val="center"/>
              <w:rPr>
                <w:strike/>
                <w:sz w:val="16"/>
                <w:szCs w:val="16"/>
              </w:rPr>
            </w:pPr>
            <w:r w:rsidRPr="009C2292">
              <w:rPr>
                <w:strike/>
                <w:sz w:val="16"/>
                <w:szCs w:val="16"/>
              </w:rPr>
              <w:t>Famille de polluants</w:t>
            </w:r>
          </w:p>
        </w:tc>
        <w:tc>
          <w:tcPr>
            <w:tcW w:w="2175" w:type="dxa"/>
            <w:gridSpan w:val="2"/>
            <w:vAlign w:val="center"/>
          </w:tcPr>
          <w:p w:rsidR="009C2292" w:rsidRPr="009C2292" w:rsidRDefault="009C2292" w:rsidP="009C2292">
            <w:pPr>
              <w:spacing w:after="0"/>
              <w:jc w:val="center"/>
              <w:rPr>
                <w:strike/>
                <w:sz w:val="16"/>
                <w:szCs w:val="16"/>
              </w:rPr>
            </w:pPr>
            <w:r w:rsidRPr="009C2292">
              <w:rPr>
                <w:strike/>
                <w:sz w:val="16"/>
                <w:szCs w:val="16"/>
              </w:rPr>
              <w:t>Concentration représentative (ESR-E)</w:t>
            </w:r>
          </w:p>
        </w:tc>
        <w:tc>
          <w:tcPr>
            <w:tcW w:w="1047" w:type="dxa"/>
            <w:vMerge w:val="restart"/>
            <w:vAlign w:val="center"/>
          </w:tcPr>
          <w:p w:rsidR="009C2292" w:rsidRPr="009C2292" w:rsidRDefault="009C2292" w:rsidP="009C2292">
            <w:pPr>
              <w:spacing w:after="0"/>
              <w:jc w:val="center"/>
              <w:rPr>
                <w:strike/>
                <w:sz w:val="16"/>
                <w:szCs w:val="16"/>
              </w:rPr>
            </w:pPr>
            <w:r w:rsidRPr="009C2292">
              <w:rPr>
                <w:strike/>
                <w:sz w:val="16"/>
                <w:szCs w:val="16"/>
              </w:rPr>
              <w:t>Indicateur statistique (ESR-E)</w:t>
            </w:r>
          </w:p>
        </w:tc>
        <w:tc>
          <w:tcPr>
            <w:tcW w:w="1370" w:type="dxa"/>
            <w:vMerge w:val="restart"/>
            <w:vAlign w:val="center"/>
          </w:tcPr>
          <w:p w:rsidR="009C2292" w:rsidRPr="009C2292" w:rsidRDefault="009C2292" w:rsidP="009C2292">
            <w:pPr>
              <w:spacing w:after="0"/>
              <w:jc w:val="center"/>
              <w:rPr>
                <w:strike/>
                <w:sz w:val="16"/>
                <w:szCs w:val="16"/>
              </w:rPr>
            </w:pPr>
            <w:r w:rsidRPr="009C2292">
              <w:rPr>
                <w:strike/>
                <w:sz w:val="16"/>
                <w:szCs w:val="16"/>
              </w:rPr>
              <w:t xml:space="preserve">Nom synthèse informatique de la </w:t>
            </w:r>
            <w:r w:rsidRPr="009C2292">
              <w:rPr>
                <w:bCs/>
                <w:strike/>
                <w:sz w:val="16"/>
                <w:szCs w:val="16"/>
              </w:rPr>
              <w:t>description statistique</w:t>
            </w:r>
          </w:p>
        </w:tc>
      </w:tr>
      <w:tr w:rsidR="009C2292" w:rsidRPr="009C2292" w:rsidTr="009C2292">
        <w:trPr>
          <w:trHeight w:val="474"/>
          <w:jc w:val="center"/>
        </w:trPr>
        <w:tc>
          <w:tcPr>
            <w:tcW w:w="571" w:type="dxa"/>
            <w:vAlign w:val="center"/>
          </w:tcPr>
          <w:p w:rsidR="009C2292" w:rsidRPr="009C2292" w:rsidRDefault="009C2292" w:rsidP="009C2292">
            <w:pPr>
              <w:spacing w:after="0"/>
              <w:jc w:val="center"/>
              <w:rPr>
                <w:strike/>
                <w:sz w:val="16"/>
                <w:szCs w:val="16"/>
              </w:rPr>
            </w:pPr>
            <w:r w:rsidRPr="009C2292">
              <w:rPr>
                <w:strike/>
                <w:sz w:val="16"/>
                <w:szCs w:val="16"/>
              </w:rPr>
              <w:t>N°</w:t>
            </w:r>
          </w:p>
        </w:tc>
        <w:tc>
          <w:tcPr>
            <w:tcW w:w="802" w:type="dxa"/>
            <w:vAlign w:val="center"/>
          </w:tcPr>
          <w:p w:rsidR="009C2292" w:rsidRPr="009C2292" w:rsidRDefault="009C2292" w:rsidP="009C2292">
            <w:pPr>
              <w:spacing w:after="0"/>
              <w:jc w:val="center"/>
              <w:rPr>
                <w:strike/>
                <w:sz w:val="16"/>
                <w:szCs w:val="16"/>
              </w:rPr>
            </w:pPr>
            <w:r w:rsidRPr="009C2292">
              <w:rPr>
                <w:strike/>
                <w:sz w:val="16"/>
                <w:szCs w:val="16"/>
              </w:rPr>
              <w:t>Intitulé</w:t>
            </w:r>
          </w:p>
        </w:tc>
        <w:tc>
          <w:tcPr>
            <w:tcW w:w="990" w:type="dxa"/>
            <w:vMerge/>
            <w:vAlign w:val="center"/>
          </w:tcPr>
          <w:p w:rsidR="009C2292" w:rsidRPr="009C2292" w:rsidRDefault="009C2292" w:rsidP="009C2292">
            <w:pPr>
              <w:spacing w:after="0"/>
              <w:jc w:val="center"/>
              <w:rPr>
                <w:strike/>
                <w:sz w:val="16"/>
                <w:szCs w:val="16"/>
              </w:rPr>
            </w:pPr>
          </w:p>
        </w:tc>
        <w:tc>
          <w:tcPr>
            <w:tcW w:w="1050" w:type="dxa"/>
            <w:vMerge/>
            <w:vAlign w:val="center"/>
          </w:tcPr>
          <w:p w:rsidR="009C2292" w:rsidRPr="009C2292" w:rsidRDefault="009C2292" w:rsidP="009C2292">
            <w:pPr>
              <w:spacing w:after="0"/>
              <w:jc w:val="center"/>
              <w:rPr>
                <w:strike/>
                <w:sz w:val="16"/>
                <w:szCs w:val="16"/>
              </w:rPr>
            </w:pPr>
          </w:p>
        </w:tc>
        <w:tc>
          <w:tcPr>
            <w:tcW w:w="1041" w:type="dxa"/>
            <w:vAlign w:val="center"/>
          </w:tcPr>
          <w:p w:rsidR="009C2292" w:rsidRPr="009C2292" w:rsidRDefault="009C2292" w:rsidP="009C2292">
            <w:pPr>
              <w:spacing w:after="0"/>
              <w:jc w:val="center"/>
              <w:rPr>
                <w:strike/>
                <w:sz w:val="16"/>
                <w:szCs w:val="16"/>
              </w:rPr>
            </w:pPr>
            <w:r w:rsidRPr="009C2292">
              <w:rPr>
                <w:strike/>
                <w:sz w:val="16"/>
                <w:szCs w:val="16"/>
              </w:rPr>
              <w:t>0-1 m n.s</w:t>
            </w:r>
          </w:p>
        </w:tc>
        <w:tc>
          <w:tcPr>
            <w:tcW w:w="1134" w:type="dxa"/>
            <w:vAlign w:val="center"/>
          </w:tcPr>
          <w:p w:rsidR="009C2292" w:rsidRPr="009C2292" w:rsidRDefault="009C2292" w:rsidP="009C2292">
            <w:pPr>
              <w:spacing w:after="0"/>
              <w:jc w:val="center"/>
              <w:rPr>
                <w:strike/>
                <w:sz w:val="16"/>
                <w:szCs w:val="16"/>
              </w:rPr>
            </w:pPr>
            <w:r w:rsidRPr="009C2292">
              <w:rPr>
                <w:strike/>
                <w:sz w:val="16"/>
                <w:szCs w:val="16"/>
              </w:rPr>
              <w:t>&gt; 1 m n.s.</w:t>
            </w:r>
          </w:p>
        </w:tc>
        <w:tc>
          <w:tcPr>
            <w:tcW w:w="1047" w:type="dxa"/>
            <w:vMerge/>
            <w:vAlign w:val="center"/>
          </w:tcPr>
          <w:p w:rsidR="009C2292" w:rsidRPr="009C2292" w:rsidRDefault="009C2292" w:rsidP="009C2292">
            <w:pPr>
              <w:spacing w:after="0"/>
              <w:jc w:val="center"/>
              <w:rPr>
                <w:strike/>
                <w:sz w:val="16"/>
                <w:szCs w:val="16"/>
              </w:rPr>
            </w:pPr>
          </w:p>
        </w:tc>
        <w:tc>
          <w:tcPr>
            <w:tcW w:w="1370" w:type="dxa"/>
            <w:vMerge/>
            <w:vAlign w:val="center"/>
          </w:tcPr>
          <w:p w:rsidR="009C2292" w:rsidRPr="009C2292" w:rsidRDefault="009C2292" w:rsidP="009C2292">
            <w:pPr>
              <w:spacing w:after="0"/>
              <w:jc w:val="center"/>
              <w:rPr>
                <w:strike/>
                <w:sz w:val="16"/>
                <w:szCs w:val="16"/>
              </w:rPr>
            </w:pPr>
          </w:p>
        </w:tc>
      </w:tr>
      <w:tr w:rsidR="009C2292" w:rsidRPr="009C2292" w:rsidTr="009C2292">
        <w:trPr>
          <w:trHeight w:val="441"/>
          <w:jc w:val="center"/>
        </w:trPr>
        <w:tc>
          <w:tcPr>
            <w:tcW w:w="571" w:type="dxa"/>
            <w:vAlign w:val="center"/>
          </w:tcPr>
          <w:p w:rsidR="009C2292" w:rsidRPr="009C2292" w:rsidRDefault="009C2292" w:rsidP="009C2292">
            <w:pPr>
              <w:spacing w:after="0"/>
              <w:jc w:val="center"/>
              <w:rPr>
                <w:strike/>
                <w:sz w:val="16"/>
                <w:szCs w:val="16"/>
              </w:rPr>
            </w:pPr>
            <w:r w:rsidRPr="009C2292">
              <w:rPr>
                <w:strike/>
                <w:sz w:val="16"/>
                <w:szCs w:val="16"/>
              </w:rPr>
              <w:t>1</w:t>
            </w:r>
          </w:p>
        </w:tc>
        <w:tc>
          <w:tcPr>
            <w:tcW w:w="802" w:type="dxa"/>
            <w:vAlign w:val="center"/>
          </w:tcPr>
          <w:p w:rsidR="009C2292" w:rsidRPr="009C2292" w:rsidRDefault="009C2292" w:rsidP="009C2292">
            <w:pPr>
              <w:spacing w:after="0"/>
              <w:jc w:val="center"/>
              <w:rPr>
                <w:strike/>
                <w:sz w:val="16"/>
                <w:szCs w:val="16"/>
              </w:rPr>
            </w:pPr>
          </w:p>
        </w:tc>
        <w:tc>
          <w:tcPr>
            <w:tcW w:w="990" w:type="dxa"/>
            <w:vAlign w:val="center"/>
          </w:tcPr>
          <w:p w:rsidR="009C2292" w:rsidRPr="009C2292" w:rsidRDefault="009C2292" w:rsidP="009C2292">
            <w:pPr>
              <w:spacing w:after="0"/>
              <w:jc w:val="center"/>
              <w:rPr>
                <w:strike/>
                <w:sz w:val="16"/>
                <w:szCs w:val="16"/>
              </w:rPr>
            </w:pPr>
          </w:p>
        </w:tc>
        <w:tc>
          <w:tcPr>
            <w:tcW w:w="1050" w:type="dxa"/>
            <w:vAlign w:val="center"/>
          </w:tcPr>
          <w:p w:rsidR="009C2292" w:rsidRPr="009C2292" w:rsidRDefault="009C2292" w:rsidP="009C2292">
            <w:pPr>
              <w:spacing w:after="0"/>
              <w:jc w:val="center"/>
              <w:rPr>
                <w:strike/>
                <w:sz w:val="16"/>
                <w:szCs w:val="16"/>
              </w:rPr>
            </w:pPr>
          </w:p>
        </w:tc>
        <w:tc>
          <w:tcPr>
            <w:tcW w:w="2175" w:type="dxa"/>
            <w:gridSpan w:val="2"/>
            <w:vAlign w:val="center"/>
          </w:tcPr>
          <w:p w:rsidR="009C2292" w:rsidRPr="009C2292" w:rsidRDefault="009C2292" w:rsidP="009C2292">
            <w:pPr>
              <w:spacing w:after="0"/>
              <w:jc w:val="center"/>
              <w:rPr>
                <w:strike/>
                <w:sz w:val="16"/>
                <w:szCs w:val="16"/>
              </w:rPr>
            </w:pPr>
          </w:p>
        </w:tc>
        <w:tc>
          <w:tcPr>
            <w:tcW w:w="1047" w:type="dxa"/>
            <w:vAlign w:val="center"/>
          </w:tcPr>
          <w:p w:rsidR="009C2292" w:rsidRPr="009C2292" w:rsidRDefault="009C2292" w:rsidP="009C2292">
            <w:pPr>
              <w:spacing w:after="0"/>
              <w:jc w:val="center"/>
              <w:rPr>
                <w:strike/>
                <w:sz w:val="16"/>
                <w:szCs w:val="16"/>
              </w:rPr>
            </w:pPr>
          </w:p>
        </w:tc>
        <w:tc>
          <w:tcPr>
            <w:tcW w:w="1370" w:type="dxa"/>
            <w:vAlign w:val="center"/>
          </w:tcPr>
          <w:p w:rsidR="009C2292" w:rsidRPr="009C2292" w:rsidRDefault="009C2292" w:rsidP="009C2292">
            <w:pPr>
              <w:spacing w:after="0"/>
              <w:jc w:val="center"/>
              <w:rPr>
                <w:strike/>
                <w:sz w:val="16"/>
                <w:szCs w:val="16"/>
              </w:rPr>
            </w:pPr>
          </w:p>
        </w:tc>
      </w:tr>
      <w:tr w:rsidR="009C2292" w:rsidRPr="009C2292" w:rsidTr="009C2292">
        <w:trPr>
          <w:trHeight w:val="441"/>
          <w:jc w:val="center"/>
        </w:trPr>
        <w:tc>
          <w:tcPr>
            <w:tcW w:w="571" w:type="dxa"/>
            <w:vAlign w:val="center"/>
          </w:tcPr>
          <w:p w:rsidR="009C2292" w:rsidRPr="009C2292" w:rsidRDefault="009C2292" w:rsidP="009C2292">
            <w:pPr>
              <w:spacing w:after="0"/>
              <w:jc w:val="center"/>
              <w:rPr>
                <w:strike/>
                <w:sz w:val="16"/>
                <w:szCs w:val="16"/>
              </w:rPr>
            </w:pPr>
            <w:r w:rsidRPr="009C2292">
              <w:rPr>
                <w:strike/>
                <w:sz w:val="16"/>
                <w:szCs w:val="16"/>
              </w:rPr>
              <w:t>2</w:t>
            </w:r>
          </w:p>
        </w:tc>
        <w:tc>
          <w:tcPr>
            <w:tcW w:w="802" w:type="dxa"/>
            <w:vAlign w:val="center"/>
          </w:tcPr>
          <w:p w:rsidR="009C2292" w:rsidRPr="009C2292" w:rsidRDefault="009C2292" w:rsidP="009C2292">
            <w:pPr>
              <w:spacing w:after="0"/>
              <w:jc w:val="center"/>
              <w:rPr>
                <w:strike/>
                <w:sz w:val="16"/>
                <w:szCs w:val="16"/>
              </w:rPr>
            </w:pPr>
          </w:p>
        </w:tc>
        <w:tc>
          <w:tcPr>
            <w:tcW w:w="990" w:type="dxa"/>
            <w:vAlign w:val="center"/>
          </w:tcPr>
          <w:p w:rsidR="009C2292" w:rsidRPr="009C2292" w:rsidRDefault="009C2292" w:rsidP="009C2292">
            <w:pPr>
              <w:spacing w:after="0"/>
              <w:jc w:val="center"/>
              <w:rPr>
                <w:strike/>
                <w:sz w:val="16"/>
                <w:szCs w:val="16"/>
              </w:rPr>
            </w:pPr>
          </w:p>
        </w:tc>
        <w:tc>
          <w:tcPr>
            <w:tcW w:w="1050" w:type="dxa"/>
            <w:vAlign w:val="center"/>
          </w:tcPr>
          <w:p w:rsidR="009C2292" w:rsidRPr="009C2292" w:rsidRDefault="009C2292" w:rsidP="009C2292">
            <w:pPr>
              <w:spacing w:after="0"/>
              <w:jc w:val="center"/>
              <w:rPr>
                <w:strike/>
                <w:sz w:val="16"/>
                <w:szCs w:val="16"/>
              </w:rPr>
            </w:pPr>
          </w:p>
        </w:tc>
        <w:tc>
          <w:tcPr>
            <w:tcW w:w="2175" w:type="dxa"/>
            <w:gridSpan w:val="2"/>
            <w:vAlign w:val="center"/>
          </w:tcPr>
          <w:p w:rsidR="009C2292" w:rsidRPr="009C2292" w:rsidRDefault="009C2292" w:rsidP="009C2292">
            <w:pPr>
              <w:spacing w:after="0"/>
              <w:jc w:val="center"/>
              <w:rPr>
                <w:strike/>
                <w:sz w:val="16"/>
                <w:szCs w:val="16"/>
              </w:rPr>
            </w:pPr>
          </w:p>
        </w:tc>
        <w:tc>
          <w:tcPr>
            <w:tcW w:w="1047" w:type="dxa"/>
            <w:vAlign w:val="center"/>
          </w:tcPr>
          <w:p w:rsidR="009C2292" w:rsidRPr="009C2292" w:rsidRDefault="009C2292" w:rsidP="009C2292">
            <w:pPr>
              <w:spacing w:after="0"/>
              <w:jc w:val="center"/>
              <w:rPr>
                <w:strike/>
                <w:sz w:val="16"/>
                <w:szCs w:val="16"/>
              </w:rPr>
            </w:pPr>
          </w:p>
        </w:tc>
        <w:tc>
          <w:tcPr>
            <w:tcW w:w="1370" w:type="dxa"/>
            <w:vAlign w:val="center"/>
          </w:tcPr>
          <w:p w:rsidR="009C2292" w:rsidRPr="009C2292" w:rsidRDefault="009C2292" w:rsidP="009C2292">
            <w:pPr>
              <w:spacing w:after="0"/>
              <w:jc w:val="center"/>
              <w:rPr>
                <w:strike/>
                <w:sz w:val="16"/>
                <w:szCs w:val="16"/>
              </w:rPr>
            </w:pPr>
          </w:p>
        </w:tc>
      </w:tr>
      <w:tr w:rsidR="009C2292" w:rsidRPr="009C2292" w:rsidTr="009C2292">
        <w:trPr>
          <w:trHeight w:val="441"/>
          <w:jc w:val="center"/>
        </w:trPr>
        <w:tc>
          <w:tcPr>
            <w:tcW w:w="571" w:type="dxa"/>
            <w:vAlign w:val="center"/>
          </w:tcPr>
          <w:p w:rsidR="009C2292" w:rsidRPr="009C2292" w:rsidRDefault="009C2292" w:rsidP="009C2292">
            <w:pPr>
              <w:spacing w:after="0"/>
              <w:jc w:val="center"/>
              <w:rPr>
                <w:strike/>
                <w:sz w:val="16"/>
                <w:szCs w:val="16"/>
              </w:rPr>
            </w:pPr>
            <w:r w:rsidRPr="009C2292">
              <w:rPr>
                <w:strike/>
                <w:sz w:val="16"/>
                <w:szCs w:val="16"/>
              </w:rPr>
              <w:t>…</w:t>
            </w:r>
          </w:p>
        </w:tc>
        <w:tc>
          <w:tcPr>
            <w:tcW w:w="802" w:type="dxa"/>
            <w:vAlign w:val="center"/>
          </w:tcPr>
          <w:p w:rsidR="009C2292" w:rsidRPr="009C2292" w:rsidRDefault="009C2292" w:rsidP="009C2292">
            <w:pPr>
              <w:spacing w:after="0"/>
              <w:jc w:val="center"/>
              <w:rPr>
                <w:strike/>
                <w:sz w:val="16"/>
                <w:szCs w:val="16"/>
              </w:rPr>
            </w:pPr>
          </w:p>
        </w:tc>
        <w:tc>
          <w:tcPr>
            <w:tcW w:w="990" w:type="dxa"/>
            <w:vAlign w:val="center"/>
          </w:tcPr>
          <w:p w:rsidR="009C2292" w:rsidRPr="009C2292" w:rsidRDefault="009C2292" w:rsidP="009C2292">
            <w:pPr>
              <w:spacing w:after="0"/>
              <w:jc w:val="center"/>
              <w:rPr>
                <w:strike/>
                <w:sz w:val="16"/>
                <w:szCs w:val="16"/>
              </w:rPr>
            </w:pPr>
          </w:p>
        </w:tc>
        <w:tc>
          <w:tcPr>
            <w:tcW w:w="1050" w:type="dxa"/>
            <w:vAlign w:val="center"/>
          </w:tcPr>
          <w:p w:rsidR="009C2292" w:rsidRPr="009C2292" w:rsidRDefault="009C2292" w:rsidP="009C2292">
            <w:pPr>
              <w:spacing w:after="0"/>
              <w:jc w:val="center"/>
              <w:rPr>
                <w:strike/>
                <w:sz w:val="16"/>
                <w:szCs w:val="16"/>
              </w:rPr>
            </w:pPr>
          </w:p>
        </w:tc>
        <w:tc>
          <w:tcPr>
            <w:tcW w:w="2175" w:type="dxa"/>
            <w:gridSpan w:val="2"/>
            <w:vAlign w:val="center"/>
          </w:tcPr>
          <w:p w:rsidR="009C2292" w:rsidRPr="009C2292" w:rsidRDefault="009C2292" w:rsidP="009C2292">
            <w:pPr>
              <w:spacing w:after="0"/>
              <w:jc w:val="center"/>
              <w:rPr>
                <w:strike/>
                <w:sz w:val="16"/>
                <w:szCs w:val="16"/>
              </w:rPr>
            </w:pPr>
          </w:p>
        </w:tc>
        <w:tc>
          <w:tcPr>
            <w:tcW w:w="1047" w:type="dxa"/>
            <w:vAlign w:val="center"/>
          </w:tcPr>
          <w:p w:rsidR="009C2292" w:rsidRPr="009C2292" w:rsidRDefault="009C2292" w:rsidP="009C2292">
            <w:pPr>
              <w:spacing w:after="0"/>
              <w:jc w:val="center"/>
              <w:rPr>
                <w:strike/>
                <w:sz w:val="16"/>
                <w:szCs w:val="16"/>
              </w:rPr>
            </w:pPr>
          </w:p>
        </w:tc>
        <w:tc>
          <w:tcPr>
            <w:tcW w:w="1370" w:type="dxa"/>
            <w:vAlign w:val="center"/>
          </w:tcPr>
          <w:p w:rsidR="009C2292" w:rsidRPr="009C2292" w:rsidRDefault="009C2292" w:rsidP="009C2292">
            <w:pPr>
              <w:spacing w:after="0"/>
              <w:jc w:val="center"/>
              <w:rPr>
                <w:strike/>
                <w:sz w:val="16"/>
                <w:szCs w:val="16"/>
              </w:rPr>
            </w:pPr>
          </w:p>
        </w:tc>
      </w:tr>
    </w:tbl>
    <w:p w:rsidR="009C2292" w:rsidRPr="009C2292" w:rsidRDefault="009C2292" w:rsidP="00A11C08">
      <w:pPr>
        <w:pStyle w:val="Corpsdetexte"/>
        <w:spacing w:after="60"/>
        <w:ind w:left="284"/>
        <w:rPr>
          <w:i/>
          <w:iCs/>
          <w:strike/>
        </w:rPr>
      </w:pPr>
    </w:p>
    <w:p w:rsidR="00217725" w:rsidRDefault="004E1CE9" w:rsidP="00A11C08">
      <w:pPr>
        <w:pStyle w:val="Corpsdetexte"/>
        <w:spacing w:after="60"/>
        <w:ind w:left="284"/>
        <w:rPr>
          <w:i/>
          <w:iCs/>
          <w:strike/>
        </w:rPr>
      </w:pPr>
      <w:r w:rsidRPr="009C2292">
        <w:rPr>
          <w:i/>
          <w:iCs/>
          <w:strike/>
        </w:rPr>
        <w:t>T</w:t>
      </w:r>
    </w:p>
    <w:p w:rsidR="009C2292" w:rsidRPr="009C2292" w:rsidRDefault="004E1CE9" w:rsidP="00A11C08">
      <w:pPr>
        <w:pStyle w:val="Corpsdetexte"/>
        <w:spacing w:after="60"/>
        <w:ind w:left="284"/>
        <w:rPr>
          <w:i/>
          <w:iCs/>
          <w:strike/>
        </w:rPr>
      </w:pPr>
      <w:proofErr w:type="spellStart"/>
      <w:proofErr w:type="gramStart"/>
      <w:r w:rsidRPr="009C2292">
        <w:rPr>
          <w:i/>
          <w:iCs/>
          <w:strike/>
        </w:rPr>
        <w:t>ableau</w:t>
      </w:r>
      <w:proofErr w:type="spellEnd"/>
      <w:proofErr w:type="gramEnd"/>
      <w:r w:rsidRPr="009C2292">
        <w:rPr>
          <w:i/>
          <w:iCs/>
          <w:strike/>
        </w:rPr>
        <w:t xml:space="preserve"> 5: Liste des zones de pollution soumises à l’ESR-E et leurs concentrations représentatives</w:t>
      </w:r>
      <w:r w:rsidR="009C2292" w:rsidRPr="009C2292">
        <w:rPr>
          <w:i/>
          <w:iCs/>
          <w:strike/>
        </w:rPr>
        <w:t xml:space="preserve"> </w:t>
      </w:r>
    </w:p>
    <w:p w:rsidR="009C2292" w:rsidRDefault="009C2292" w:rsidP="00A11C08">
      <w:pPr>
        <w:pStyle w:val="Corpsdetexte"/>
        <w:spacing w:after="60"/>
        <w:ind w:left="284"/>
      </w:pPr>
    </w:p>
    <w:p w:rsidR="00A11C08" w:rsidRPr="00E7223A" w:rsidRDefault="007C38D0" w:rsidP="00A11C08">
      <w:pPr>
        <w:pStyle w:val="Corpsdetexte"/>
        <w:spacing w:after="60"/>
        <w:rPr>
          <w:b/>
          <w:u w:val="single"/>
        </w:rPr>
      </w:pPr>
      <w:r w:rsidRPr="00E7223A">
        <w:rPr>
          <w:b/>
          <w:u w:val="single"/>
        </w:rPr>
        <w:t>4. Evaluation des risques</w:t>
      </w:r>
    </w:p>
    <w:p w:rsidR="00A11C08" w:rsidRDefault="00A11C08" w:rsidP="00A11C08">
      <w:pPr>
        <w:pStyle w:val="Corpsdetexte"/>
        <w:spacing w:after="60"/>
        <w:ind w:left="284"/>
      </w:pPr>
      <w:r w:rsidRPr="00276B5E">
        <w:t>4.1 Volet Santé humaine</w:t>
      </w:r>
    </w:p>
    <w:p w:rsidR="00A11C08" w:rsidRPr="00E7223A" w:rsidRDefault="007C38D0" w:rsidP="00A11C08">
      <w:pPr>
        <w:pStyle w:val="Corpsdetexte"/>
        <w:spacing w:after="60"/>
        <w:ind w:left="426"/>
        <w:rPr>
          <w:u w:val="single"/>
        </w:rPr>
      </w:pPr>
      <w:r w:rsidRPr="00E7223A">
        <w:rPr>
          <w:u w:val="single"/>
        </w:rPr>
        <w:t>4.1.1 ESR-SH</w:t>
      </w:r>
    </w:p>
    <w:p w:rsidR="009C2292" w:rsidRDefault="00A11C08" w:rsidP="00A14392">
      <w:pPr>
        <w:pStyle w:val="Corpsdetexte"/>
        <w:spacing w:after="60"/>
        <w:ind w:left="567"/>
      </w:pPr>
      <w:r w:rsidRPr="00276B5E">
        <w:t>4.1.1</w:t>
      </w:r>
      <w:proofErr w:type="gramStart"/>
      <w:r w:rsidRPr="00276B5E">
        <w:t>.a</w:t>
      </w:r>
      <w:proofErr w:type="gramEnd"/>
      <w:r w:rsidRPr="008217D5">
        <w:t xml:space="preserve"> </w:t>
      </w:r>
      <w:r w:rsidRPr="00276B5E">
        <w:t xml:space="preserve">Comparaison des concentrations représentatives </w:t>
      </w:r>
    </w:p>
    <w:p w:rsidR="00A14392" w:rsidRDefault="00A14392" w:rsidP="00A14392">
      <w:pPr>
        <w:pStyle w:val="Corpsdetexte"/>
        <w:spacing w:after="60"/>
        <w:ind w:left="567"/>
      </w:pPr>
    </w:p>
    <w:p w:rsidR="00D27ADB" w:rsidRDefault="00A14392" w:rsidP="00A14392">
      <w:pPr>
        <w:pStyle w:val="Corpsdetexte"/>
      </w:pPr>
      <w:r w:rsidRPr="005D4FFE">
        <w:rPr>
          <w:b/>
        </w:rPr>
        <w:t>Générique </w:t>
      </w:r>
      <w:r w:rsidR="00544F30">
        <w:rPr>
          <w:b/>
        </w:rPr>
        <w:t>(agricole)</w:t>
      </w:r>
      <w:r>
        <w:t xml:space="preserve">: </w:t>
      </w:r>
      <w:r w:rsidR="00544F30">
        <w:t>dépassement de la valeur seuil-santé humaine</w:t>
      </w:r>
      <w:r w:rsidR="00BC0DEB">
        <w:t xml:space="preserve"> (VSH)</w:t>
      </w:r>
      <w:r w:rsidR="00544F30">
        <w:t xml:space="preserve"> </w:t>
      </w:r>
      <w:r>
        <w:t>pour</w:t>
      </w:r>
      <w:r w:rsidR="00544F30">
        <w:t xml:space="preserve"> les polluants suivants :</w:t>
      </w:r>
      <w:r>
        <w:t xml:space="preserve"> </w:t>
      </w:r>
    </w:p>
    <w:p w:rsidR="0069697E" w:rsidRDefault="000E3C41">
      <w:pPr>
        <w:pStyle w:val="Corpsdetexte"/>
        <w:numPr>
          <w:ilvl w:val="0"/>
          <w:numId w:val="54"/>
        </w:numPr>
      </w:pPr>
      <w:r>
        <w:t xml:space="preserve">pour le remblai : </w:t>
      </w:r>
      <w:r w:rsidR="00544F30">
        <w:t xml:space="preserve">cadmium, chrome, cuivre, plomb, </w:t>
      </w:r>
      <w:proofErr w:type="spellStart"/>
      <w:r w:rsidR="00544F30">
        <w:t>benzo</w:t>
      </w:r>
      <w:proofErr w:type="spellEnd"/>
      <w:r w:rsidR="00544F30">
        <w:t>(b</w:t>
      </w:r>
      <w:proofErr w:type="gramStart"/>
      <w:r w:rsidR="00544F30">
        <w:t>)</w:t>
      </w:r>
      <w:proofErr w:type="spellStart"/>
      <w:r w:rsidR="00544F30">
        <w:t>fluoranthène</w:t>
      </w:r>
      <w:proofErr w:type="spellEnd"/>
      <w:proofErr w:type="gramEnd"/>
      <w:r w:rsidR="00544F30">
        <w:t xml:space="preserve">, </w:t>
      </w:r>
      <w:proofErr w:type="spellStart"/>
      <w:r w:rsidR="00544F30">
        <w:t>benzo</w:t>
      </w:r>
      <w:proofErr w:type="spellEnd"/>
      <w:r w:rsidR="00544F30">
        <w:t>(k)</w:t>
      </w:r>
      <w:proofErr w:type="spellStart"/>
      <w:r w:rsidR="00544F30">
        <w:t>fluoranthène</w:t>
      </w:r>
      <w:proofErr w:type="spellEnd"/>
      <w:r w:rsidR="00544F30">
        <w:t xml:space="preserve">, </w:t>
      </w:r>
      <w:proofErr w:type="spellStart"/>
      <w:r w:rsidR="00544F30">
        <w:t>benzo</w:t>
      </w:r>
      <w:proofErr w:type="spellEnd"/>
      <w:r w:rsidR="00544F30">
        <w:t>(a)pyrène</w:t>
      </w:r>
      <w:r>
        <w:t xml:space="preserve"> et</w:t>
      </w:r>
      <w:r w:rsidR="00544F30">
        <w:t xml:space="preserve"> </w:t>
      </w:r>
      <w:proofErr w:type="spellStart"/>
      <w:r w:rsidR="00544F30">
        <w:t>indéno</w:t>
      </w:r>
      <w:proofErr w:type="spellEnd"/>
      <w:r w:rsidR="00544F30">
        <w:t>(1.2.3-cd)pyrène</w:t>
      </w:r>
      <w:r w:rsidR="00117C20">
        <w:t xml:space="preserve"> ; </w:t>
      </w:r>
    </w:p>
    <w:p w:rsidR="0069697E" w:rsidRDefault="00117C20">
      <w:pPr>
        <w:pStyle w:val="Corpsdetexte"/>
        <w:numPr>
          <w:ilvl w:val="0"/>
          <w:numId w:val="54"/>
        </w:numPr>
      </w:pPr>
      <w:r>
        <w:t>p</w:t>
      </w:r>
      <w:r w:rsidR="000E3C41">
        <w:t xml:space="preserve">our la tache de pollution : </w:t>
      </w:r>
      <w:r w:rsidR="00544F30">
        <w:t xml:space="preserve">hydrocarbures pétroliers fractions </w:t>
      </w:r>
      <w:r w:rsidR="00951416">
        <w:t xml:space="preserve">EC </w:t>
      </w:r>
      <w:r w:rsidR="00544F30">
        <w:t>&gt;12-21</w:t>
      </w:r>
      <w:r>
        <w:t>.</w:t>
      </w:r>
    </w:p>
    <w:p w:rsidR="00544F30" w:rsidRDefault="00A14392" w:rsidP="00AE69CA">
      <w:pPr>
        <w:pStyle w:val="Corpsdetexte"/>
      </w:pPr>
      <w:r w:rsidRPr="00A14392">
        <w:rPr>
          <w:b/>
        </w:rPr>
        <w:t>Actuelle</w:t>
      </w:r>
      <w:r w:rsidR="00544F30">
        <w:rPr>
          <w:b/>
        </w:rPr>
        <w:t xml:space="preserve"> (industriel)</w:t>
      </w:r>
      <w:r>
        <w:t> :</w:t>
      </w:r>
      <w:r w:rsidR="00544F30">
        <w:t xml:space="preserve"> aucun</w:t>
      </w:r>
      <w:r>
        <w:t xml:space="preserve"> </w:t>
      </w:r>
      <w:r w:rsidR="00544F30">
        <w:t xml:space="preserve">dépassement de la </w:t>
      </w:r>
      <w:r w:rsidR="00BC0DEB">
        <w:t>VSH</w:t>
      </w:r>
      <w:r w:rsidR="00544F30">
        <w:t xml:space="preserve"> pour les polluants investigués</w:t>
      </w:r>
      <w:r w:rsidR="00117C20">
        <w:t>.</w:t>
      </w:r>
    </w:p>
    <w:p w:rsidR="00544F30" w:rsidRDefault="00635742" w:rsidP="00AE69CA">
      <w:pPr>
        <w:pStyle w:val="Corpsdetexte"/>
      </w:pPr>
      <w:r>
        <w:rPr>
          <w:b/>
        </w:rPr>
        <w:t>Projetée</w:t>
      </w:r>
      <w:r w:rsidR="00544F30">
        <w:rPr>
          <w:b/>
        </w:rPr>
        <w:t xml:space="preserve"> (résidentiel)</w:t>
      </w:r>
      <w:r w:rsidR="00A14392">
        <w:t> :</w:t>
      </w:r>
      <w:r w:rsidR="00544F30">
        <w:t xml:space="preserve"> dépassement de la </w:t>
      </w:r>
      <w:r w:rsidR="00BC0DEB">
        <w:t>VSH</w:t>
      </w:r>
      <w:r w:rsidR="00544F30">
        <w:t xml:space="preserve"> pour les polluants suivants : </w:t>
      </w:r>
      <w:r w:rsidR="000E3C41">
        <w:t xml:space="preserve">pour le remblai : </w:t>
      </w:r>
      <w:r w:rsidR="00544F30">
        <w:t xml:space="preserve">cadmium, </w:t>
      </w:r>
      <w:r w:rsidR="00CD54A2">
        <w:t xml:space="preserve">plomb, </w:t>
      </w:r>
      <w:proofErr w:type="spellStart"/>
      <w:r w:rsidR="00544F30">
        <w:t>benzo</w:t>
      </w:r>
      <w:proofErr w:type="spellEnd"/>
      <w:r w:rsidR="00544F30">
        <w:t>(b</w:t>
      </w:r>
      <w:proofErr w:type="gramStart"/>
      <w:r w:rsidR="00544F30">
        <w:t>)</w:t>
      </w:r>
      <w:proofErr w:type="spellStart"/>
      <w:r w:rsidR="00544F30">
        <w:t>flu</w:t>
      </w:r>
      <w:r w:rsidR="000E3C41">
        <w:t>oranthène</w:t>
      </w:r>
      <w:proofErr w:type="spellEnd"/>
      <w:proofErr w:type="gramEnd"/>
      <w:r w:rsidR="000E3C41">
        <w:t xml:space="preserve">, </w:t>
      </w:r>
      <w:proofErr w:type="spellStart"/>
      <w:r w:rsidR="000E3C41">
        <w:t>benzo</w:t>
      </w:r>
      <w:proofErr w:type="spellEnd"/>
      <w:r w:rsidR="000E3C41">
        <w:t>(k)</w:t>
      </w:r>
      <w:proofErr w:type="spellStart"/>
      <w:r w:rsidR="000E3C41">
        <w:t>fluoranthène</w:t>
      </w:r>
      <w:proofErr w:type="spellEnd"/>
      <w:r w:rsidR="00117C20">
        <w:t> ;</w:t>
      </w:r>
      <w:r w:rsidR="000E3C41">
        <w:t xml:space="preserve"> </w:t>
      </w:r>
      <w:r w:rsidR="00117C20">
        <w:t>p</w:t>
      </w:r>
      <w:r w:rsidR="000E3C41">
        <w:t xml:space="preserve">our la tache de pollution : </w:t>
      </w:r>
      <w:r w:rsidR="00544F30">
        <w:t>hydrocarbures pétroliers fractions EC &gt;10-35</w:t>
      </w:r>
      <w:r w:rsidR="00117C20">
        <w:t>.</w:t>
      </w:r>
    </w:p>
    <w:p w:rsidR="009C2292" w:rsidRDefault="009C2292" w:rsidP="00A11C08">
      <w:pPr>
        <w:pStyle w:val="Corpsdetexte"/>
        <w:spacing w:after="60"/>
        <w:ind w:left="567"/>
      </w:pPr>
    </w:p>
    <w:p w:rsidR="00A11C08" w:rsidRDefault="00A11C08" w:rsidP="00A11C08">
      <w:pPr>
        <w:pStyle w:val="Corpsdetexte"/>
        <w:spacing w:after="60"/>
        <w:ind w:left="567"/>
      </w:pPr>
      <w:r w:rsidRPr="00276B5E">
        <w:t>4.1.1</w:t>
      </w:r>
      <w:proofErr w:type="gramStart"/>
      <w:r w:rsidRPr="00276B5E">
        <w:t>.b</w:t>
      </w:r>
      <w:proofErr w:type="gramEnd"/>
      <w:r w:rsidRPr="00276B5E">
        <w:t xml:space="preserve"> Interprétation des résultats </w:t>
      </w:r>
    </w:p>
    <w:p w:rsidR="00544F30" w:rsidRDefault="00544F30" w:rsidP="00A11C08">
      <w:pPr>
        <w:pStyle w:val="Corpsdetexte"/>
        <w:spacing w:after="60"/>
        <w:ind w:left="567"/>
      </w:pPr>
    </w:p>
    <w:p w:rsidR="00BC0DEB" w:rsidRDefault="00AE69CA" w:rsidP="00AE69CA">
      <w:pPr>
        <w:pStyle w:val="Corpsdetexte"/>
        <w:spacing w:after="60"/>
      </w:pPr>
      <w:r w:rsidRPr="00AE69CA">
        <w:rPr>
          <w:b/>
        </w:rPr>
        <w:t>Génériqu</w:t>
      </w:r>
      <w:r w:rsidRPr="00544F30">
        <w:rPr>
          <w:b/>
        </w:rPr>
        <w:t>e </w:t>
      </w:r>
      <w:r w:rsidR="00544F30" w:rsidRPr="00544F30">
        <w:rPr>
          <w:b/>
        </w:rPr>
        <w:t>(agricole)</w:t>
      </w:r>
      <w:r w:rsidR="00544F30">
        <w:t xml:space="preserve"> </w:t>
      </w:r>
      <w:r>
        <w:t>:</w:t>
      </w:r>
      <w:r w:rsidR="007B3314">
        <w:t xml:space="preserve"> </w:t>
      </w:r>
      <w:r w:rsidR="00102EBC" w:rsidRPr="00102EBC">
        <w:rPr>
          <w:b/>
        </w:rPr>
        <w:t>H</w:t>
      </w:r>
      <w:r w:rsidR="00117C20">
        <w:rPr>
          <w:b/>
        </w:rPr>
        <w:t xml:space="preserve">MG : </w:t>
      </w:r>
      <w:r w:rsidR="00BC0DEB">
        <w:t>étant donné les nombreux dépassement</w:t>
      </w:r>
      <w:r w:rsidR="00D76A7E">
        <w:t>s</w:t>
      </w:r>
      <w:r w:rsidR="00BC0DEB">
        <w:t xml:space="preserve"> de </w:t>
      </w:r>
      <w:r w:rsidR="00117C20">
        <w:t>VSH</w:t>
      </w:r>
      <w:r w:rsidR="00BC0DEB">
        <w:t xml:space="preserve"> </w:t>
      </w:r>
      <w:r w:rsidR="00951416">
        <w:t xml:space="preserve">à la fois au niveau du remblai et de la tache de pollution </w:t>
      </w:r>
      <w:r w:rsidR="00BC0DEB">
        <w:t>et le fait que l’usage agricole n’est pas prévu à court, moyen ou long terme</w:t>
      </w:r>
      <w:r w:rsidR="0069697E">
        <w:t xml:space="preserve"> et enfin compte tenu des résultats de l’étude de risque en usage résidentiel</w:t>
      </w:r>
      <w:r w:rsidR="00BC0DEB">
        <w:t>, il n’a pas été jugé pertinent de réaliser une étude détaillée des risques. Il est proposé d</w:t>
      </w:r>
      <w:r w:rsidR="00951416">
        <w:t>e prescrire d’emblée une restriction d’usage et d</w:t>
      </w:r>
      <w:r w:rsidR="00BC0DEB">
        <w:t>’interdire l’usage agricole.</w:t>
      </w:r>
    </w:p>
    <w:p w:rsidR="00AE69CA" w:rsidRDefault="00AE69CA" w:rsidP="00AE69CA">
      <w:pPr>
        <w:pStyle w:val="Corpsdetexte"/>
        <w:spacing w:after="60"/>
      </w:pPr>
      <w:r w:rsidRPr="00AE69CA">
        <w:rPr>
          <w:b/>
        </w:rPr>
        <w:t>Actuelle</w:t>
      </w:r>
      <w:r w:rsidR="00544F30">
        <w:rPr>
          <w:b/>
        </w:rPr>
        <w:t xml:space="preserve"> (industriel)</w:t>
      </w:r>
      <w:r>
        <w:t xml:space="preserve"> : </w:t>
      </w:r>
      <w:r w:rsidR="00117C20">
        <w:rPr>
          <w:b/>
        </w:rPr>
        <w:t xml:space="preserve">AMG : </w:t>
      </w:r>
      <w:r w:rsidR="007B3314">
        <w:t>aucun</w:t>
      </w:r>
      <w:r w:rsidR="000B565D">
        <w:t>e hypothèse de menace grave</w:t>
      </w:r>
      <w:r w:rsidR="00BC0DEB">
        <w:t xml:space="preserve"> n’est mis</w:t>
      </w:r>
      <w:r w:rsidR="000B565D">
        <w:t>e</w:t>
      </w:r>
      <w:r w:rsidR="00BC0DEB">
        <w:t xml:space="preserve"> en évidence pour un usage industriel du </w:t>
      </w:r>
      <w:r w:rsidR="00337E8F">
        <w:t>terrain</w:t>
      </w:r>
      <w:r w:rsidR="00BC0DEB">
        <w:t>.</w:t>
      </w:r>
      <w:r w:rsidR="004B5FA4">
        <w:t xml:space="preserve"> Et </w:t>
      </w:r>
      <w:proofErr w:type="gramStart"/>
      <w:r w:rsidR="004B5FA4">
        <w:t>ce</w:t>
      </w:r>
      <w:proofErr w:type="gramEnd"/>
      <w:r w:rsidR="004B5FA4">
        <w:t xml:space="preserve"> autant </w:t>
      </w:r>
      <w:r w:rsidR="000B565D">
        <w:t xml:space="preserve">pour </w:t>
      </w:r>
      <w:r w:rsidR="004B5FA4">
        <w:t>le remblai que pour la tache de pollution.</w:t>
      </w:r>
    </w:p>
    <w:p w:rsidR="00BC0DEB" w:rsidRDefault="00635742" w:rsidP="00AE69CA">
      <w:pPr>
        <w:pStyle w:val="Corpsdetexte"/>
        <w:spacing w:after="60"/>
      </w:pPr>
      <w:r>
        <w:rPr>
          <w:b/>
        </w:rPr>
        <w:t>Projetée</w:t>
      </w:r>
      <w:r w:rsidR="00544F30">
        <w:rPr>
          <w:b/>
        </w:rPr>
        <w:t xml:space="preserve"> (résidentiel)</w:t>
      </w:r>
      <w:r w:rsidR="00AE69CA">
        <w:t xml:space="preserve"> : </w:t>
      </w:r>
      <w:r w:rsidR="001B0AD5">
        <w:rPr>
          <w:b/>
        </w:rPr>
        <w:t xml:space="preserve">HMG : </w:t>
      </w:r>
      <w:r w:rsidR="00BC0DEB">
        <w:t xml:space="preserve">Une étude détaillée des risques pour les polluants dépassant la VSH </w:t>
      </w:r>
      <w:r w:rsidR="00951416">
        <w:t xml:space="preserve">au niveau du remblai et de la tache de pollution </w:t>
      </w:r>
      <w:r w:rsidR="00BC0DEB">
        <w:t>est proposée ci-après.</w:t>
      </w:r>
      <w:r w:rsidR="000C1C9F">
        <w:t xml:space="preserve"> La liste de ces polluants est reprise au point 4.1.1.a</w:t>
      </w:r>
    </w:p>
    <w:p w:rsidR="009C2292" w:rsidRDefault="009C2292" w:rsidP="00A11C08">
      <w:pPr>
        <w:pStyle w:val="Corpsdetexte"/>
        <w:spacing w:after="60"/>
        <w:ind w:left="567"/>
      </w:pPr>
    </w:p>
    <w:p w:rsidR="00A11C08" w:rsidRDefault="00A11C08" w:rsidP="00A11C08">
      <w:pPr>
        <w:pStyle w:val="Corpsdetexte"/>
        <w:spacing w:after="60"/>
        <w:ind w:left="567"/>
      </w:pPr>
      <w:r>
        <w:t>4.1.1</w:t>
      </w:r>
      <w:proofErr w:type="gramStart"/>
      <w:r>
        <w:t>.c</w:t>
      </w:r>
      <w:proofErr w:type="gramEnd"/>
      <w:r>
        <w:t xml:space="preserve"> Conclusions</w:t>
      </w:r>
    </w:p>
    <w:p w:rsidR="004B5FA4" w:rsidRDefault="004B5FA4" w:rsidP="004B5FA4">
      <w:pPr>
        <w:pStyle w:val="Corpsdetexte"/>
        <w:spacing w:after="60"/>
        <w:rPr>
          <w:b/>
        </w:rPr>
      </w:pPr>
    </w:p>
    <w:p w:rsidR="00F8562A" w:rsidRDefault="004B5FA4" w:rsidP="00523769">
      <w:pPr>
        <w:pStyle w:val="Corpsdetexte"/>
        <w:spacing w:after="60"/>
      </w:pPr>
      <w:r w:rsidRPr="00AE69CA">
        <w:rPr>
          <w:b/>
        </w:rPr>
        <w:t>Génériqu</w:t>
      </w:r>
      <w:r w:rsidRPr="00544F30">
        <w:rPr>
          <w:b/>
        </w:rPr>
        <w:t>e (agricole)</w:t>
      </w:r>
      <w:r>
        <w:t xml:space="preserve"> :</w:t>
      </w:r>
      <w:r>
        <w:tab/>
        <w:t>Conclusion additionnelle : restriction de l’usage agricole</w:t>
      </w:r>
    </w:p>
    <w:p w:rsidR="004B5FA4" w:rsidRDefault="004B5FA4" w:rsidP="004B5FA4">
      <w:pPr>
        <w:pStyle w:val="Corpsdetexte"/>
        <w:spacing w:after="60"/>
        <w:ind w:left="2124" w:firstLine="708"/>
      </w:pPr>
    </w:p>
    <w:p w:rsidR="004B5FA4" w:rsidRDefault="004B5FA4" w:rsidP="004B5FA4">
      <w:pPr>
        <w:pStyle w:val="Corpsdetexte"/>
        <w:spacing w:after="60"/>
        <w:ind w:firstLine="2835"/>
      </w:pPr>
    </w:p>
    <w:p w:rsidR="004B5FA4" w:rsidRDefault="004B5FA4" w:rsidP="004B5FA4">
      <w:pPr>
        <w:pStyle w:val="Corpsdetexte"/>
        <w:spacing w:after="60"/>
      </w:pPr>
      <w:r>
        <w:rPr>
          <w:b/>
        </w:rPr>
        <w:t>Projetée (résidentiel)</w:t>
      </w:r>
      <w:r>
        <w:t xml:space="preserve"> : </w:t>
      </w:r>
      <w:r>
        <w:tab/>
        <w:t>passage à l’EDR-SH pour le</w:t>
      </w:r>
      <w:r w:rsidR="00523769">
        <w:t xml:space="preserve"> remblai et la tache de pollution</w:t>
      </w:r>
      <w:r>
        <w:t>.</w:t>
      </w:r>
    </w:p>
    <w:p w:rsidR="009C2292" w:rsidRDefault="009C2292" w:rsidP="007B3314">
      <w:pPr>
        <w:pStyle w:val="Corpsdetexte"/>
        <w:spacing w:after="60"/>
      </w:pPr>
    </w:p>
    <w:p w:rsidR="00310561" w:rsidRDefault="00310561" w:rsidP="007B3314">
      <w:pPr>
        <w:pStyle w:val="Corpsdetexte"/>
        <w:spacing w:after="60"/>
      </w:pPr>
    </w:p>
    <w:p w:rsidR="009C2292" w:rsidRDefault="009C2292" w:rsidP="00A11C08">
      <w:pPr>
        <w:pStyle w:val="Corpsdetexte"/>
        <w:spacing w:after="60"/>
        <w:ind w:left="567"/>
      </w:pPr>
    </w:p>
    <w:p w:rsidR="00A11C08" w:rsidRPr="00E7223A" w:rsidRDefault="007C38D0" w:rsidP="00A11C08">
      <w:pPr>
        <w:pStyle w:val="Corpsdetexte"/>
        <w:spacing w:after="60"/>
        <w:ind w:left="426"/>
        <w:rPr>
          <w:u w:val="single"/>
        </w:rPr>
      </w:pPr>
      <w:r w:rsidRPr="00E7223A">
        <w:rPr>
          <w:u w:val="single"/>
        </w:rPr>
        <w:t>4.1.2 EDR-SH</w:t>
      </w:r>
    </w:p>
    <w:p w:rsidR="00BC0DEB" w:rsidRDefault="00BC0DEB" w:rsidP="00BC0DEB">
      <w:pPr>
        <w:pStyle w:val="Corpsdetexte"/>
        <w:spacing w:after="60"/>
      </w:pPr>
      <w:r>
        <w:t>Comme recommandé par le CWBP V</w:t>
      </w:r>
      <w:r w:rsidR="00117C20">
        <w:t>0</w:t>
      </w:r>
      <w:r>
        <w:t xml:space="preserve">3, les risques pour la santé humaine pour un usage résidentiel </w:t>
      </w:r>
      <w:r w:rsidR="00117C20">
        <w:t>sont</w:t>
      </w:r>
      <w:r>
        <w:t xml:space="preserve"> évalué</w:t>
      </w:r>
      <w:r w:rsidR="00117C20">
        <w:t>s</w:t>
      </w:r>
      <w:r>
        <w:t xml:space="preserve"> à l’aide du logiciel S-Risk</w:t>
      </w:r>
      <w:r w:rsidR="00A153D7">
        <w:t xml:space="preserve"> version wallonne</w:t>
      </w:r>
      <w:r>
        <w:t>.</w:t>
      </w:r>
    </w:p>
    <w:p w:rsidR="007B21A3" w:rsidRDefault="007B21A3" w:rsidP="00BC0DEB">
      <w:pPr>
        <w:pStyle w:val="Corpsdetexte"/>
        <w:spacing w:after="60"/>
      </w:pPr>
    </w:p>
    <w:p w:rsidR="009130DC" w:rsidRDefault="007B21A3" w:rsidP="009130DC">
      <w:pPr>
        <w:pStyle w:val="Corpsdetexte"/>
      </w:pPr>
      <w:r>
        <w:t>Cette EDR-SH est réalisée uniquement pour la base d’évaluation projetée</w:t>
      </w:r>
      <w:r w:rsidR="00BE08DE">
        <w:t xml:space="preserve"> </w:t>
      </w:r>
    </w:p>
    <w:p w:rsidR="00BC0DEB" w:rsidRDefault="00BC0DEB" w:rsidP="00A11C08">
      <w:pPr>
        <w:pStyle w:val="Corpsdetexte"/>
        <w:spacing w:after="60"/>
        <w:ind w:left="426"/>
      </w:pPr>
    </w:p>
    <w:p w:rsidR="00A11C08" w:rsidRDefault="00A11C08" w:rsidP="00A11C08">
      <w:pPr>
        <w:pStyle w:val="Corpsdetexte"/>
        <w:spacing w:after="60"/>
        <w:ind w:left="567"/>
      </w:pPr>
      <w:r w:rsidRPr="00276B5E">
        <w:t>4.1.2</w:t>
      </w:r>
      <w:proofErr w:type="gramStart"/>
      <w:r w:rsidRPr="00276B5E">
        <w:t>.a</w:t>
      </w:r>
      <w:proofErr w:type="gramEnd"/>
      <w:r w:rsidRPr="00276B5E">
        <w:t xml:space="preserve"> </w:t>
      </w:r>
      <w:r w:rsidRPr="00EA3042">
        <w:t>Choix opérés dans le logiciel S-Risk</w:t>
      </w:r>
    </w:p>
    <w:p w:rsidR="00CD54A2" w:rsidRDefault="00BC0DEB" w:rsidP="00B10AF8">
      <w:pPr>
        <w:pStyle w:val="Corpsdetexte"/>
        <w:spacing w:after="60"/>
      </w:pPr>
      <w:r>
        <w:t xml:space="preserve">Différentes situations ont été </w:t>
      </w:r>
      <w:r w:rsidR="00CD54A2">
        <w:t>modélisées</w:t>
      </w:r>
      <w:r>
        <w:t xml:space="preserve"> à l’aide du logiciel S-Risk</w:t>
      </w:r>
      <w:r w:rsidR="00CD54A2">
        <w:t xml:space="preserve"> afin de déterminer les mesures de sécurité nécessaire</w:t>
      </w:r>
      <w:r w:rsidR="00FF0D9B">
        <w:t>s</w:t>
      </w:r>
      <w:r w:rsidR="00CD54A2">
        <w:t xml:space="preserve"> </w:t>
      </w:r>
      <w:r w:rsidR="00FF0D9B">
        <w:t>pour u</w:t>
      </w:r>
      <w:r w:rsidR="00117C20">
        <w:t>n</w:t>
      </w:r>
      <w:r w:rsidR="00CD54A2">
        <w:t xml:space="preserve"> usage résidentiel</w:t>
      </w:r>
      <w:r w:rsidR="00FF0D9B">
        <w:t xml:space="preserve"> du terrain</w:t>
      </w:r>
      <w:r>
        <w:t>.</w:t>
      </w:r>
      <w:r w:rsidR="00CD54A2">
        <w:t xml:space="preserve"> Une partie des paramètres ont été adapté</w:t>
      </w:r>
      <w:r w:rsidR="00117C20">
        <w:t>s</w:t>
      </w:r>
      <w:r w:rsidR="00CD54A2">
        <w:t xml:space="preserve"> pour chacune de ces simulations</w:t>
      </w:r>
      <w:r w:rsidR="007415FE">
        <w:t xml:space="preserve"> (uniquement à l’onglet Scenario)</w:t>
      </w:r>
      <w:r w:rsidR="00CD54A2">
        <w:t>, d’autres sont commun</w:t>
      </w:r>
      <w:r w:rsidR="00081E4E">
        <w:t>s</w:t>
      </w:r>
      <w:r w:rsidR="00CD54A2">
        <w:t xml:space="preserve"> pour l’ensemble des simulations. Les valeurs proposées par défaut par le logiciel ont été conservé</w:t>
      </w:r>
      <w:r w:rsidR="00081E4E">
        <w:t>es</w:t>
      </w:r>
      <w:r w:rsidR="00CD54A2">
        <w:t xml:space="preserve"> pour les paramètres non-cités ci-après.</w:t>
      </w:r>
    </w:p>
    <w:p w:rsidR="00B10AF8" w:rsidRDefault="00B10AF8" w:rsidP="00B10AF8">
      <w:pPr>
        <w:pStyle w:val="Corpsdetexte"/>
        <w:spacing w:after="60"/>
      </w:pPr>
    </w:p>
    <w:p w:rsidR="00CD54A2" w:rsidRDefault="00CD54A2" w:rsidP="00B10AF8">
      <w:pPr>
        <w:pStyle w:val="Corpsdetexte"/>
        <w:spacing w:after="60"/>
      </w:pPr>
      <w:r w:rsidRPr="00CD54A2">
        <w:rPr>
          <w:b/>
        </w:rPr>
        <w:t>Scenario</w:t>
      </w:r>
      <w:r w:rsidR="007415FE">
        <w:rPr>
          <w:b/>
        </w:rPr>
        <w:t xml:space="preserve"> (scénario et voies d’exposition) </w:t>
      </w:r>
      <w:r>
        <w:t>: change en fonction des sim</w:t>
      </w:r>
      <w:r w:rsidR="000E3C41">
        <w:t>u</w:t>
      </w:r>
      <w:r>
        <w:t>lations</w:t>
      </w:r>
    </w:p>
    <w:p w:rsidR="00A153D7" w:rsidRDefault="00A153D7" w:rsidP="00A153D7">
      <w:pPr>
        <w:pStyle w:val="Corpsdetexte"/>
        <w:spacing w:after="60"/>
      </w:pPr>
      <w:r w:rsidRPr="000E3C41">
        <w:rPr>
          <w:b/>
        </w:rPr>
        <w:t xml:space="preserve">Simulation 1 : </w:t>
      </w:r>
      <w:r w:rsidR="00E308CF" w:rsidRPr="00E308CF">
        <w:t>scénario</w:t>
      </w:r>
      <w:r>
        <w:t> résidentiel avec jardin potager</w:t>
      </w:r>
    </w:p>
    <w:p w:rsidR="00A153D7" w:rsidRDefault="00A153D7" w:rsidP="00A153D7">
      <w:pPr>
        <w:pStyle w:val="Corpsdetexte"/>
        <w:spacing w:after="60"/>
      </w:pPr>
      <w:r w:rsidRPr="000E3C41">
        <w:rPr>
          <w:b/>
        </w:rPr>
        <w:t xml:space="preserve">Simulation 2 : </w:t>
      </w:r>
      <w:r w:rsidR="00E308CF" w:rsidRPr="00E308CF">
        <w:t>scénario</w:t>
      </w:r>
      <w:r>
        <w:t> résidentiel avec jardin d’agrément</w:t>
      </w:r>
    </w:p>
    <w:p w:rsidR="00A153D7" w:rsidRDefault="00A153D7" w:rsidP="00A153D7">
      <w:pPr>
        <w:pStyle w:val="Corpsdetexte"/>
        <w:spacing w:after="60"/>
      </w:pPr>
      <w:r w:rsidRPr="000E3C41">
        <w:rPr>
          <w:b/>
        </w:rPr>
        <w:t xml:space="preserve">Simulation 3 : </w:t>
      </w:r>
      <w:r w:rsidR="00E308CF" w:rsidRPr="00E308CF">
        <w:t>scénario</w:t>
      </w:r>
      <w:r>
        <w:t> résidentiel sans jardin</w:t>
      </w:r>
    </w:p>
    <w:p w:rsidR="00A153D7" w:rsidRDefault="00A153D7" w:rsidP="00A153D7">
      <w:pPr>
        <w:pStyle w:val="Corpsdetexte"/>
        <w:spacing w:after="60"/>
      </w:pPr>
      <w:r w:rsidRPr="000E3C41">
        <w:rPr>
          <w:b/>
        </w:rPr>
        <w:t xml:space="preserve">Simulation 4 : </w:t>
      </w:r>
      <w:r w:rsidR="00E308CF" w:rsidRPr="00E308CF">
        <w:t>scénario</w:t>
      </w:r>
      <w:r>
        <w:t xml:space="preserve"> résidentiel sans jardin, </w:t>
      </w:r>
      <w:r w:rsidR="00BE08DE">
        <w:t xml:space="preserve">avec dalle de béton sur l’entièreté du terrain (ingestion de particules et de poussières non considérée) </w:t>
      </w:r>
    </w:p>
    <w:p w:rsidR="00A153D7" w:rsidRDefault="00A153D7" w:rsidP="00B10AF8">
      <w:pPr>
        <w:pStyle w:val="Corpsdetexte"/>
        <w:spacing w:after="60"/>
      </w:pPr>
    </w:p>
    <w:p w:rsidR="00CD54A2" w:rsidRDefault="000A791E" w:rsidP="00CD54A2">
      <w:pPr>
        <w:pStyle w:val="Corpsdetexte"/>
      </w:pPr>
      <w:proofErr w:type="spellStart"/>
      <w:r w:rsidRPr="00CD54A2">
        <w:rPr>
          <w:b/>
        </w:rPr>
        <w:t>Chemicals</w:t>
      </w:r>
      <w:proofErr w:type="spellEnd"/>
      <w:r w:rsidR="007415FE">
        <w:rPr>
          <w:b/>
        </w:rPr>
        <w:t xml:space="preserve"> (polluants)</w:t>
      </w:r>
      <w:r>
        <w:t xml:space="preserve"> : </w:t>
      </w:r>
      <w:r w:rsidR="00CD54A2">
        <w:t xml:space="preserve">cadmium, plomb, </w:t>
      </w:r>
      <w:proofErr w:type="spellStart"/>
      <w:r w:rsidR="00CD54A2">
        <w:t>benzo</w:t>
      </w:r>
      <w:proofErr w:type="spellEnd"/>
      <w:r w:rsidR="00CD54A2">
        <w:t>(b</w:t>
      </w:r>
      <w:proofErr w:type="gramStart"/>
      <w:r w:rsidR="00CD54A2">
        <w:t>)</w:t>
      </w:r>
      <w:proofErr w:type="spellStart"/>
      <w:r w:rsidR="00CD54A2">
        <w:t>fluoranthène</w:t>
      </w:r>
      <w:proofErr w:type="spellEnd"/>
      <w:proofErr w:type="gramEnd"/>
      <w:r w:rsidR="00CD54A2">
        <w:t xml:space="preserve">, </w:t>
      </w:r>
      <w:proofErr w:type="spellStart"/>
      <w:r w:rsidR="00CD54A2">
        <w:t>benzo</w:t>
      </w:r>
      <w:proofErr w:type="spellEnd"/>
      <w:r w:rsidR="00CD54A2">
        <w:t>(k)</w:t>
      </w:r>
      <w:proofErr w:type="spellStart"/>
      <w:r w:rsidR="00CD54A2">
        <w:t>fluoranthène</w:t>
      </w:r>
      <w:proofErr w:type="spellEnd"/>
      <w:r w:rsidR="00CD54A2">
        <w:t>, et hydrocarbures pétroliers fractions EC &gt;10-35</w:t>
      </w:r>
    </w:p>
    <w:p w:rsidR="00BE08DE" w:rsidRPr="00A353E8" w:rsidRDefault="00102EBC" w:rsidP="00B10AF8">
      <w:pPr>
        <w:pStyle w:val="Corpsdetexte"/>
        <w:spacing w:after="60"/>
        <w:rPr>
          <w:lang w:val="en-GB"/>
        </w:rPr>
      </w:pPr>
      <w:r w:rsidRPr="00102EBC">
        <w:rPr>
          <w:b/>
          <w:lang w:val="en-GB"/>
        </w:rPr>
        <w:t>Soil (profile du sol</w:t>
      </w:r>
      <w:proofErr w:type="gramStart"/>
      <w:r w:rsidRPr="00102EBC">
        <w:rPr>
          <w:b/>
          <w:lang w:val="en-GB"/>
        </w:rPr>
        <w:t>)</w:t>
      </w:r>
      <w:r w:rsidRPr="00102EBC">
        <w:rPr>
          <w:lang w:val="en-GB"/>
        </w:rPr>
        <w:t> :</w:t>
      </w:r>
      <w:proofErr w:type="gramEnd"/>
      <w:r w:rsidRPr="00102EBC">
        <w:rPr>
          <w:lang w:val="en-GB"/>
        </w:rPr>
        <w:t xml:space="preserve"> </w:t>
      </w:r>
    </w:p>
    <w:p w:rsidR="00E308CF" w:rsidRPr="00A353E8" w:rsidRDefault="00F8562A" w:rsidP="00F8562A">
      <w:pPr>
        <w:pStyle w:val="Corpsdetexte"/>
        <w:spacing w:after="60"/>
        <w:ind w:firstLine="708"/>
        <w:rPr>
          <w:lang w:val="en-GB"/>
        </w:rPr>
      </w:pPr>
      <w:r>
        <w:rPr>
          <w:lang w:val="en-GB"/>
        </w:rPr>
        <w:t>S</w:t>
      </w:r>
      <w:r w:rsidR="00102EBC" w:rsidRPr="00102EBC">
        <w:rPr>
          <w:lang w:val="en-GB"/>
        </w:rPr>
        <w:t>tandard sand from 0</w:t>
      </w:r>
    </w:p>
    <w:p w:rsidR="000A791E" w:rsidRPr="00A353E8" w:rsidRDefault="00102EBC" w:rsidP="00B10AF8">
      <w:pPr>
        <w:pStyle w:val="Corpsdetexte"/>
        <w:spacing w:after="60"/>
        <w:rPr>
          <w:lang w:val="en-GB"/>
        </w:rPr>
      </w:pPr>
      <w:r w:rsidRPr="00102EBC">
        <w:rPr>
          <w:lang w:val="en-GB"/>
        </w:rPr>
        <w:t xml:space="preserve">        </w:t>
      </w:r>
      <w:r w:rsidR="00F8562A">
        <w:rPr>
          <w:lang w:val="en-GB"/>
        </w:rPr>
        <w:tab/>
      </w:r>
      <w:r w:rsidRPr="00102EBC">
        <w:rPr>
          <w:lang w:val="en-GB"/>
        </w:rPr>
        <w:t>Standard loam from 1</w:t>
      </w:r>
    </w:p>
    <w:p w:rsidR="000A791E" w:rsidRPr="00A353E8" w:rsidRDefault="00102EBC" w:rsidP="00B10AF8">
      <w:pPr>
        <w:pStyle w:val="Corpsdetexte"/>
        <w:spacing w:after="60"/>
        <w:rPr>
          <w:lang w:val="en-GB"/>
        </w:rPr>
      </w:pPr>
      <w:r w:rsidRPr="00102EBC">
        <w:rPr>
          <w:lang w:val="en-GB"/>
        </w:rPr>
        <w:t xml:space="preserve">        </w:t>
      </w:r>
      <w:r w:rsidR="00F8562A">
        <w:rPr>
          <w:lang w:val="en-GB"/>
        </w:rPr>
        <w:tab/>
      </w:r>
      <w:r w:rsidRPr="00102EBC">
        <w:rPr>
          <w:lang w:val="en-GB"/>
        </w:rPr>
        <w:t xml:space="preserve">Groundwater </w:t>
      </w:r>
      <w:proofErr w:type="gramStart"/>
      <w:r w:rsidRPr="00102EBC">
        <w:rPr>
          <w:lang w:val="en-GB"/>
        </w:rPr>
        <w:t>table :</w:t>
      </w:r>
      <w:proofErr w:type="gramEnd"/>
      <w:r w:rsidRPr="00102EBC">
        <w:rPr>
          <w:lang w:val="en-GB"/>
        </w:rPr>
        <w:t xml:space="preserve"> 3.5</w:t>
      </w:r>
    </w:p>
    <w:p w:rsidR="000A791E" w:rsidRPr="00A353E8" w:rsidRDefault="00102EBC" w:rsidP="00B10AF8">
      <w:pPr>
        <w:pStyle w:val="Corpsdetexte"/>
        <w:spacing w:after="60"/>
        <w:rPr>
          <w:lang w:val="en-GB"/>
        </w:rPr>
      </w:pPr>
      <w:proofErr w:type="gramStart"/>
      <w:r w:rsidRPr="00102EBC">
        <w:rPr>
          <w:b/>
          <w:lang w:val="en-GB"/>
        </w:rPr>
        <w:t>Water</w:t>
      </w:r>
      <w:r w:rsidRPr="00102EBC">
        <w:rPr>
          <w:lang w:val="en-GB"/>
        </w:rPr>
        <w:t> :</w:t>
      </w:r>
      <w:proofErr w:type="gramEnd"/>
      <w:r w:rsidRPr="00102EBC">
        <w:rPr>
          <w:lang w:val="en-GB"/>
        </w:rPr>
        <w:t xml:space="preserve"> enter groundwater concentration</w:t>
      </w:r>
    </w:p>
    <w:p w:rsidR="000A791E" w:rsidRPr="00A353E8" w:rsidRDefault="00102EBC" w:rsidP="00B10AF8">
      <w:pPr>
        <w:pStyle w:val="Corpsdetexte"/>
        <w:spacing w:after="60"/>
        <w:rPr>
          <w:lang w:val="en-GB"/>
        </w:rPr>
      </w:pPr>
      <w:r w:rsidRPr="00102EBC">
        <w:rPr>
          <w:b/>
          <w:lang w:val="en-GB"/>
        </w:rPr>
        <w:t xml:space="preserve">Outdoor </w:t>
      </w:r>
      <w:proofErr w:type="gramStart"/>
      <w:r w:rsidRPr="00102EBC">
        <w:rPr>
          <w:b/>
          <w:lang w:val="en-GB"/>
        </w:rPr>
        <w:t>air</w:t>
      </w:r>
      <w:r w:rsidRPr="00102EBC">
        <w:rPr>
          <w:lang w:val="en-GB"/>
        </w:rPr>
        <w:t> :</w:t>
      </w:r>
      <w:proofErr w:type="gramEnd"/>
      <w:r w:rsidRPr="00102EBC">
        <w:rPr>
          <w:lang w:val="en-GB"/>
        </w:rPr>
        <w:t xml:space="preserve"> length of contaminated area : 60 m</w:t>
      </w:r>
    </w:p>
    <w:p w:rsidR="00CC55EF" w:rsidRDefault="00102EBC" w:rsidP="00B10AF8">
      <w:pPr>
        <w:pStyle w:val="Corpsdetexte"/>
        <w:spacing w:after="60"/>
      </w:pPr>
      <w:r w:rsidRPr="00102EBC">
        <w:rPr>
          <w:b/>
          <w:lang w:val="en-GB"/>
        </w:rPr>
        <w:t>Indo</w:t>
      </w:r>
      <w:r w:rsidR="00B10AF8" w:rsidRPr="00CD54A2">
        <w:rPr>
          <w:b/>
        </w:rPr>
        <w:t xml:space="preserve">or </w:t>
      </w:r>
      <w:proofErr w:type="gramStart"/>
      <w:r w:rsidR="00B10AF8" w:rsidRPr="00CD54A2">
        <w:rPr>
          <w:b/>
        </w:rPr>
        <w:t>air</w:t>
      </w:r>
      <w:r w:rsidR="00B10AF8">
        <w:t> :</w:t>
      </w:r>
      <w:proofErr w:type="gramEnd"/>
      <w:r w:rsidR="00B10AF8">
        <w:t xml:space="preserve"> </w:t>
      </w:r>
      <w:r w:rsidR="004960BF">
        <w:t>toutes valeurs proposées par défaut par le logiciel</w:t>
      </w:r>
    </w:p>
    <w:p w:rsidR="00B10AF8" w:rsidRDefault="00B10AF8" w:rsidP="00B10AF8">
      <w:pPr>
        <w:pStyle w:val="Corpsdetexte"/>
        <w:spacing w:after="60"/>
      </w:pPr>
      <w:r w:rsidRPr="00CD54A2">
        <w:rPr>
          <w:b/>
        </w:rPr>
        <w:t>Plants</w:t>
      </w:r>
      <w:r>
        <w:t> : tout</w:t>
      </w:r>
      <w:r w:rsidR="004960BF">
        <w:t>es</w:t>
      </w:r>
      <w:r>
        <w:t xml:space="preserve"> </w:t>
      </w:r>
      <w:r w:rsidR="004960BF">
        <w:t>valeurs proposées par défaut par le logiciel</w:t>
      </w:r>
    </w:p>
    <w:p w:rsidR="00B10AF8" w:rsidRDefault="00B10AF8" w:rsidP="00B10AF8">
      <w:pPr>
        <w:pStyle w:val="Corpsdetexte"/>
        <w:spacing w:after="60"/>
      </w:pPr>
      <w:proofErr w:type="spellStart"/>
      <w:r w:rsidRPr="00CD54A2">
        <w:rPr>
          <w:b/>
        </w:rPr>
        <w:t>Animals</w:t>
      </w:r>
      <w:proofErr w:type="spellEnd"/>
      <w:r>
        <w:t xml:space="preserve"> : </w:t>
      </w:r>
      <w:r w:rsidR="004960BF">
        <w:t>toutes valeurs proposées par défaut par le logiciel</w:t>
      </w:r>
    </w:p>
    <w:p w:rsidR="00410C61" w:rsidRDefault="00B10AF8" w:rsidP="00B10AF8">
      <w:pPr>
        <w:pStyle w:val="Corpsdetexte"/>
        <w:spacing w:after="60"/>
      </w:pPr>
      <w:r w:rsidRPr="004960BF">
        <w:rPr>
          <w:b/>
        </w:rPr>
        <w:t>Concentration</w:t>
      </w:r>
      <w:r>
        <w:t> : concentrati</w:t>
      </w:r>
      <w:r w:rsidR="00E7223A">
        <w:t>on représentative (Tableau 4</w:t>
      </w:r>
      <w:r>
        <w:t xml:space="preserve">) pour </w:t>
      </w:r>
      <w:r w:rsidR="00BF2344">
        <w:t xml:space="preserve">le remblai, pour le terrain naturel et pour l’eau souterraine. Lorsque la limite de détection est atteinte, </w:t>
      </w:r>
      <w:r w:rsidR="00523769">
        <w:t xml:space="preserve">cette </w:t>
      </w:r>
      <w:r w:rsidR="00F8562A">
        <w:t>limite</w:t>
      </w:r>
      <w:r w:rsidR="00523769">
        <w:t xml:space="preserve"> de détection</w:t>
      </w:r>
      <w:r w:rsidR="00BF2344">
        <w:t xml:space="preserve"> a été utilisée. Concernant les hydrocarbures pétroliers, le split entre aliphatique</w:t>
      </w:r>
      <w:r w:rsidR="00F8562A">
        <w:t>s</w:t>
      </w:r>
      <w:r w:rsidR="00BF2344">
        <w:t xml:space="preserve"> et aromatique</w:t>
      </w:r>
      <w:r w:rsidR="00F8562A">
        <w:t>s</w:t>
      </w:r>
      <w:r w:rsidR="00BF2344">
        <w:t xml:space="preserve"> suit les recommandations du CWBP version 3, avec une proportion 70/30.Ces valeurs sont reprises dans le tableau 5b.</w:t>
      </w:r>
    </w:p>
    <w:p w:rsidR="00410C61" w:rsidRDefault="00410C61" w:rsidP="00B10AF8">
      <w:pPr>
        <w:pStyle w:val="Corpsdetexte"/>
        <w:spacing w:after="60"/>
      </w:pPr>
    </w:p>
    <w:tbl>
      <w:tblPr>
        <w:tblStyle w:val="Grilledutableau"/>
        <w:tblW w:w="0" w:type="auto"/>
        <w:tblLook w:val="04A0"/>
      </w:tblPr>
      <w:tblGrid>
        <w:gridCol w:w="3227"/>
        <w:gridCol w:w="1984"/>
        <w:gridCol w:w="1734"/>
        <w:gridCol w:w="2303"/>
      </w:tblGrid>
      <w:tr w:rsidR="00410C61" w:rsidTr="00617693">
        <w:tc>
          <w:tcPr>
            <w:tcW w:w="3227" w:type="dxa"/>
            <w:vAlign w:val="center"/>
          </w:tcPr>
          <w:p w:rsidR="00410C61" w:rsidRPr="00617693" w:rsidRDefault="00410C61" w:rsidP="00617693">
            <w:pPr>
              <w:spacing w:after="0"/>
              <w:jc w:val="center"/>
              <w:rPr>
                <w:rFonts w:ascii="Calibri" w:hAnsi="Calibri"/>
                <w:b/>
                <w:bCs/>
                <w:color w:val="000000"/>
                <w:spacing w:val="0"/>
                <w:sz w:val="22"/>
                <w:szCs w:val="22"/>
                <w:lang w:eastAsia="fr-BE"/>
              </w:rPr>
            </w:pPr>
            <w:r w:rsidRPr="00617693">
              <w:rPr>
                <w:rFonts w:ascii="Calibri" w:hAnsi="Calibri"/>
                <w:b/>
                <w:bCs/>
                <w:color w:val="000000"/>
                <w:spacing w:val="0"/>
                <w:sz w:val="22"/>
                <w:szCs w:val="22"/>
                <w:lang w:eastAsia="fr-BE"/>
              </w:rPr>
              <w:t>Polluant</w:t>
            </w:r>
          </w:p>
        </w:tc>
        <w:tc>
          <w:tcPr>
            <w:tcW w:w="1984" w:type="dxa"/>
            <w:vAlign w:val="center"/>
          </w:tcPr>
          <w:p w:rsidR="00BF2344" w:rsidRPr="00617693" w:rsidRDefault="00BF2344" w:rsidP="00617693">
            <w:pPr>
              <w:spacing w:after="0"/>
              <w:jc w:val="center"/>
              <w:rPr>
                <w:rFonts w:ascii="Calibri" w:hAnsi="Calibri"/>
                <w:b/>
                <w:bCs/>
                <w:color w:val="000000"/>
                <w:spacing w:val="0"/>
                <w:sz w:val="22"/>
                <w:szCs w:val="22"/>
                <w:lang w:eastAsia="fr-BE"/>
              </w:rPr>
            </w:pPr>
            <w:r w:rsidRPr="00617693">
              <w:rPr>
                <w:rFonts w:ascii="Calibri" w:hAnsi="Calibri"/>
                <w:b/>
                <w:bCs/>
                <w:color w:val="000000"/>
                <w:spacing w:val="0"/>
                <w:sz w:val="22"/>
                <w:szCs w:val="22"/>
                <w:lang w:eastAsia="fr-BE"/>
              </w:rPr>
              <w:t>Concentration</w:t>
            </w:r>
            <w:r w:rsidR="00410C61" w:rsidRPr="00617693">
              <w:rPr>
                <w:rFonts w:ascii="Calibri" w:hAnsi="Calibri"/>
                <w:b/>
                <w:bCs/>
                <w:color w:val="000000"/>
                <w:spacing w:val="0"/>
                <w:sz w:val="22"/>
                <w:szCs w:val="22"/>
                <w:lang w:eastAsia="fr-BE"/>
              </w:rPr>
              <w:t xml:space="preserve"> remblai</w:t>
            </w:r>
          </w:p>
          <w:p w:rsidR="00410C61" w:rsidRPr="00617693" w:rsidRDefault="00BF2344" w:rsidP="00617693">
            <w:pPr>
              <w:spacing w:after="0"/>
              <w:jc w:val="center"/>
              <w:rPr>
                <w:rFonts w:ascii="Calibri" w:hAnsi="Calibri"/>
                <w:b/>
                <w:bCs/>
                <w:color w:val="000000"/>
                <w:spacing w:val="0"/>
                <w:sz w:val="22"/>
                <w:szCs w:val="22"/>
                <w:lang w:eastAsia="fr-BE"/>
              </w:rPr>
            </w:pPr>
            <w:r w:rsidRPr="00617693">
              <w:rPr>
                <w:rFonts w:ascii="Calibri" w:hAnsi="Calibri"/>
                <w:b/>
                <w:bCs/>
                <w:color w:val="000000"/>
                <w:spacing w:val="0"/>
                <w:sz w:val="22"/>
                <w:szCs w:val="22"/>
                <w:lang w:eastAsia="fr-BE"/>
              </w:rPr>
              <w:t>(mg/kg-ms)</w:t>
            </w:r>
          </w:p>
        </w:tc>
        <w:tc>
          <w:tcPr>
            <w:tcW w:w="1734" w:type="dxa"/>
            <w:vAlign w:val="center"/>
          </w:tcPr>
          <w:p w:rsidR="00410C61" w:rsidRPr="00617693" w:rsidRDefault="00BF2344" w:rsidP="00617693">
            <w:pPr>
              <w:spacing w:after="0"/>
              <w:jc w:val="center"/>
              <w:rPr>
                <w:rFonts w:ascii="Calibri" w:hAnsi="Calibri"/>
                <w:b/>
                <w:bCs/>
                <w:color w:val="000000"/>
                <w:spacing w:val="0"/>
                <w:sz w:val="22"/>
                <w:szCs w:val="22"/>
                <w:lang w:eastAsia="fr-BE"/>
              </w:rPr>
            </w:pPr>
            <w:r w:rsidRPr="00617693">
              <w:rPr>
                <w:rFonts w:ascii="Calibri" w:hAnsi="Calibri"/>
                <w:b/>
                <w:bCs/>
                <w:color w:val="000000"/>
                <w:spacing w:val="0"/>
                <w:sz w:val="22"/>
                <w:szCs w:val="22"/>
                <w:lang w:eastAsia="fr-BE"/>
              </w:rPr>
              <w:t>Concentration</w:t>
            </w:r>
            <w:r w:rsidR="00410C61" w:rsidRPr="00617693">
              <w:rPr>
                <w:rFonts w:ascii="Calibri" w:hAnsi="Calibri"/>
                <w:b/>
                <w:bCs/>
                <w:color w:val="000000"/>
                <w:spacing w:val="0"/>
                <w:sz w:val="22"/>
                <w:szCs w:val="22"/>
                <w:lang w:eastAsia="fr-BE"/>
              </w:rPr>
              <w:t xml:space="preserve"> sol naturel</w:t>
            </w:r>
            <w:r w:rsidRPr="00617693">
              <w:rPr>
                <w:rFonts w:ascii="Calibri" w:hAnsi="Calibri"/>
                <w:b/>
                <w:bCs/>
                <w:color w:val="000000"/>
                <w:spacing w:val="0"/>
                <w:sz w:val="22"/>
                <w:szCs w:val="22"/>
                <w:lang w:eastAsia="fr-BE"/>
              </w:rPr>
              <w:t xml:space="preserve"> (mg/kg-ms)</w:t>
            </w:r>
          </w:p>
        </w:tc>
        <w:tc>
          <w:tcPr>
            <w:tcW w:w="2303" w:type="dxa"/>
            <w:vAlign w:val="center"/>
          </w:tcPr>
          <w:p w:rsidR="00BF2344" w:rsidRPr="00617693" w:rsidRDefault="00BF2344" w:rsidP="00617693">
            <w:pPr>
              <w:spacing w:after="0"/>
              <w:jc w:val="center"/>
              <w:rPr>
                <w:rFonts w:ascii="Calibri" w:hAnsi="Calibri"/>
                <w:b/>
                <w:bCs/>
                <w:color w:val="000000"/>
                <w:spacing w:val="0"/>
                <w:sz w:val="22"/>
                <w:szCs w:val="22"/>
                <w:lang w:eastAsia="fr-BE"/>
              </w:rPr>
            </w:pPr>
            <w:r w:rsidRPr="00617693">
              <w:rPr>
                <w:rFonts w:ascii="Calibri" w:hAnsi="Calibri"/>
                <w:b/>
                <w:bCs/>
                <w:color w:val="000000"/>
                <w:spacing w:val="0"/>
                <w:sz w:val="22"/>
                <w:szCs w:val="22"/>
                <w:lang w:eastAsia="fr-BE"/>
              </w:rPr>
              <w:t>Concentration</w:t>
            </w:r>
            <w:r w:rsidR="00410C61" w:rsidRPr="00617693">
              <w:rPr>
                <w:rFonts w:ascii="Calibri" w:hAnsi="Calibri"/>
                <w:b/>
                <w:bCs/>
                <w:color w:val="000000"/>
                <w:spacing w:val="0"/>
                <w:sz w:val="22"/>
                <w:szCs w:val="22"/>
                <w:lang w:eastAsia="fr-BE"/>
              </w:rPr>
              <w:t xml:space="preserve"> eaux souterraine</w:t>
            </w:r>
            <w:r w:rsidR="00BE08DE" w:rsidRPr="00617693">
              <w:rPr>
                <w:rFonts w:ascii="Calibri" w:hAnsi="Calibri"/>
                <w:b/>
                <w:bCs/>
                <w:color w:val="000000"/>
                <w:spacing w:val="0"/>
                <w:sz w:val="22"/>
                <w:szCs w:val="22"/>
                <w:lang w:eastAsia="fr-BE"/>
              </w:rPr>
              <w:t>s</w:t>
            </w:r>
          </w:p>
          <w:p w:rsidR="00410C61" w:rsidRPr="00617693" w:rsidRDefault="00BF2344" w:rsidP="00617693">
            <w:pPr>
              <w:spacing w:after="0"/>
              <w:jc w:val="center"/>
              <w:rPr>
                <w:rFonts w:ascii="Calibri" w:hAnsi="Calibri"/>
                <w:b/>
                <w:bCs/>
                <w:color w:val="000000"/>
                <w:spacing w:val="0"/>
                <w:sz w:val="22"/>
                <w:szCs w:val="22"/>
                <w:lang w:eastAsia="fr-BE"/>
              </w:rPr>
            </w:pPr>
            <w:r w:rsidRPr="00617693">
              <w:rPr>
                <w:rFonts w:ascii="Calibri" w:hAnsi="Calibri"/>
                <w:b/>
                <w:bCs/>
                <w:color w:val="000000"/>
                <w:spacing w:val="0"/>
                <w:sz w:val="22"/>
                <w:szCs w:val="22"/>
                <w:lang w:eastAsia="fr-BE"/>
              </w:rPr>
              <w:t>(µg/l)</w:t>
            </w:r>
          </w:p>
        </w:tc>
      </w:tr>
      <w:tr w:rsidR="00410C61" w:rsidTr="00617693">
        <w:tc>
          <w:tcPr>
            <w:tcW w:w="3227" w:type="dxa"/>
            <w:vAlign w:val="center"/>
          </w:tcPr>
          <w:p w:rsidR="00410C61" w:rsidRDefault="00410C61" w:rsidP="00617693">
            <w:pPr>
              <w:pStyle w:val="Corpsdetexte"/>
              <w:spacing w:after="60"/>
              <w:jc w:val="center"/>
            </w:pPr>
            <w:r>
              <w:t>Cadmium</w:t>
            </w:r>
          </w:p>
        </w:tc>
        <w:tc>
          <w:tcPr>
            <w:tcW w:w="1984" w:type="dxa"/>
            <w:vAlign w:val="center"/>
          </w:tcPr>
          <w:p w:rsidR="00410C61" w:rsidRDefault="00410C61" w:rsidP="00617693">
            <w:pPr>
              <w:pStyle w:val="Corpsdetexte"/>
              <w:spacing w:after="60"/>
              <w:jc w:val="center"/>
            </w:pPr>
            <w:r>
              <w:t>15</w:t>
            </w:r>
          </w:p>
        </w:tc>
        <w:tc>
          <w:tcPr>
            <w:tcW w:w="1734" w:type="dxa"/>
            <w:vAlign w:val="center"/>
          </w:tcPr>
          <w:p w:rsidR="00410C61" w:rsidRDefault="00410C61" w:rsidP="00617693">
            <w:pPr>
              <w:pStyle w:val="Corpsdetexte"/>
              <w:spacing w:after="60"/>
              <w:jc w:val="center"/>
            </w:pPr>
            <w:r>
              <w:t>0.8</w:t>
            </w:r>
          </w:p>
        </w:tc>
        <w:tc>
          <w:tcPr>
            <w:tcW w:w="2303" w:type="dxa"/>
            <w:vAlign w:val="center"/>
          </w:tcPr>
          <w:p w:rsidR="00410C61" w:rsidRDefault="00410C61" w:rsidP="00617693">
            <w:pPr>
              <w:pStyle w:val="Corpsdetexte"/>
              <w:spacing w:after="60"/>
              <w:jc w:val="center"/>
            </w:pPr>
            <w:r>
              <w:t>4</w:t>
            </w:r>
          </w:p>
        </w:tc>
      </w:tr>
      <w:tr w:rsidR="00410C61" w:rsidTr="00617693">
        <w:tc>
          <w:tcPr>
            <w:tcW w:w="3227" w:type="dxa"/>
            <w:vAlign w:val="center"/>
          </w:tcPr>
          <w:p w:rsidR="00410C61" w:rsidRDefault="007415FE" w:rsidP="00617693">
            <w:pPr>
              <w:pStyle w:val="Corpsdetexte"/>
              <w:spacing w:after="60"/>
              <w:jc w:val="center"/>
            </w:pPr>
            <w:r>
              <w:t>P</w:t>
            </w:r>
            <w:r w:rsidR="00410C61">
              <w:t>lomb</w:t>
            </w:r>
          </w:p>
        </w:tc>
        <w:tc>
          <w:tcPr>
            <w:tcW w:w="1984" w:type="dxa"/>
            <w:vAlign w:val="center"/>
          </w:tcPr>
          <w:p w:rsidR="00410C61" w:rsidRDefault="00410C61" w:rsidP="00617693">
            <w:pPr>
              <w:pStyle w:val="Corpsdetexte"/>
              <w:spacing w:after="60"/>
              <w:jc w:val="center"/>
            </w:pPr>
            <w:r>
              <w:t>214</w:t>
            </w:r>
          </w:p>
        </w:tc>
        <w:tc>
          <w:tcPr>
            <w:tcW w:w="1734" w:type="dxa"/>
            <w:vAlign w:val="center"/>
          </w:tcPr>
          <w:p w:rsidR="00410C61" w:rsidRDefault="00410C61" w:rsidP="00617693">
            <w:pPr>
              <w:pStyle w:val="Corpsdetexte"/>
              <w:spacing w:after="60"/>
              <w:jc w:val="center"/>
            </w:pPr>
            <w:r>
              <w:t>189</w:t>
            </w:r>
          </w:p>
        </w:tc>
        <w:tc>
          <w:tcPr>
            <w:tcW w:w="2303" w:type="dxa"/>
            <w:vAlign w:val="center"/>
          </w:tcPr>
          <w:p w:rsidR="00410C61" w:rsidRDefault="00410C61" w:rsidP="00617693">
            <w:pPr>
              <w:pStyle w:val="Corpsdetexte"/>
              <w:spacing w:after="60"/>
              <w:jc w:val="center"/>
            </w:pPr>
            <w:r>
              <w:t>9</w:t>
            </w:r>
          </w:p>
        </w:tc>
      </w:tr>
      <w:tr w:rsidR="00410C61" w:rsidTr="00617693">
        <w:tc>
          <w:tcPr>
            <w:tcW w:w="3227" w:type="dxa"/>
            <w:vAlign w:val="center"/>
          </w:tcPr>
          <w:p w:rsidR="00410C61" w:rsidRDefault="00410C61" w:rsidP="00617693">
            <w:pPr>
              <w:pStyle w:val="Corpsdetexte"/>
              <w:spacing w:after="60"/>
              <w:jc w:val="center"/>
            </w:pPr>
            <w:proofErr w:type="spellStart"/>
            <w:r>
              <w:t>Benzo</w:t>
            </w:r>
            <w:proofErr w:type="spellEnd"/>
            <w:r>
              <w:t>(b</w:t>
            </w:r>
            <w:proofErr w:type="gramStart"/>
            <w:r>
              <w:t>)</w:t>
            </w:r>
            <w:proofErr w:type="spellStart"/>
            <w:r>
              <w:t>fluoranthène</w:t>
            </w:r>
            <w:proofErr w:type="spellEnd"/>
            <w:proofErr w:type="gramEnd"/>
          </w:p>
        </w:tc>
        <w:tc>
          <w:tcPr>
            <w:tcW w:w="1984" w:type="dxa"/>
            <w:vAlign w:val="center"/>
          </w:tcPr>
          <w:p w:rsidR="00410C61" w:rsidRDefault="00410C61" w:rsidP="00617693">
            <w:pPr>
              <w:pStyle w:val="Corpsdetexte"/>
              <w:spacing w:after="60"/>
              <w:jc w:val="center"/>
            </w:pPr>
            <w:r>
              <w:t>1.2</w:t>
            </w:r>
          </w:p>
        </w:tc>
        <w:tc>
          <w:tcPr>
            <w:tcW w:w="1734" w:type="dxa"/>
            <w:vAlign w:val="center"/>
          </w:tcPr>
          <w:p w:rsidR="00410C61" w:rsidRDefault="00410C61" w:rsidP="00617693">
            <w:pPr>
              <w:pStyle w:val="Corpsdetexte"/>
              <w:spacing w:after="60"/>
              <w:jc w:val="center"/>
            </w:pPr>
            <w:r>
              <w:t>0.14</w:t>
            </w:r>
          </w:p>
        </w:tc>
        <w:tc>
          <w:tcPr>
            <w:tcW w:w="2303" w:type="dxa"/>
            <w:vAlign w:val="center"/>
          </w:tcPr>
          <w:p w:rsidR="00617693" w:rsidRDefault="00410C61" w:rsidP="00617693">
            <w:pPr>
              <w:pStyle w:val="Corpsdetexte"/>
              <w:spacing w:after="60"/>
              <w:jc w:val="center"/>
            </w:pPr>
            <w:r>
              <w:t>0</w:t>
            </w:r>
            <w:r w:rsidR="00617693">
              <w:t>.1</w:t>
            </w:r>
          </w:p>
        </w:tc>
      </w:tr>
      <w:tr w:rsidR="00617693" w:rsidTr="00617693">
        <w:tc>
          <w:tcPr>
            <w:tcW w:w="3227" w:type="dxa"/>
            <w:vAlign w:val="center"/>
          </w:tcPr>
          <w:p w:rsidR="00617693" w:rsidRDefault="00617693" w:rsidP="00617693">
            <w:pPr>
              <w:pStyle w:val="Corpsdetexte"/>
              <w:spacing w:after="60"/>
              <w:jc w:val="center"/>
            </w:pPr>
            <w:proofErr w:type="spellStart"/>
            <w:r>
              <w:t>Benzo</w:t>
            </w:r>
            <w:proofErr w:type="spellEnd"/>
            <w:r>
              <w:t>(k</w:t>
            </w:r>
            <w:proofErr w:type="gramStart"/>
            <w:r>
              <w:t>)</w:t>
            </w:r>
            <w:proofErr w:type="spellStart"/>
            <w:r>
              <w:t>fluoranthène</w:t>
            </w:r>
            <w:proofErr w:type="spellEnd"/>
            <w:proofErr w:type="gramEnd"/>
          </w:p>
        </w:tc>
        <w:tc>
          <w:tcPr>
            <w:tcW w:w="1984" w:type="dxa"/>
            <w:vAlign w:val="center"/>
          </w:tcPr>
          <w:p w:rsidR="00617693" w:rsidRDefault="00617693" w:rsidP="00617693">
            <w:pPr>
              <w:pStyle w:val="Corpsdetexte"/>
              <w:spacing w:after="60"/>
              <w:jc w:val="center"/>
            </w:pPr>
            <w:r>
              <w:t>4.6</w:t>
            </w:r>
          </w:p>
        </w:tc>
        <w:tc>
          <w:tcPr>
            <w:tcW w:w="1734" w:type="dxa"/>
            <w:vAlign w:val="center"/>
          </w:tcPr>
          <w:p w:rsidR="00617693" w:rsidRDefault="00617693" w:rsidP="00617693">
            <w:pPr>
              <w:pStyle w:val="Corpsdetexte"/>
              <w:spacing w:after="60"/>
              <w:jc w:val="center"/>
            </w:pPr>
            <w:r>
              <w:t>0.12</w:t>
            </w:r>
          </w:p>
        </w:tc>
        <w:tc>
          <w:tcPr>
            <w:tcW w:w="2303" w:type="dxa"/>
            <w:vAlign w:val="center"/>
          </w:tcPr>
          <w:p w:rsidR="00617693" w:rsidRDefault="00617693" w:rsidP="00617693">
            <w:pPr>
              <w:pStyle w:val="Corpsdetexte"/>
              <w:spacing w:after="60"/>
              <w:jc w:val="center"/>
            </w:pPr>
            <w:r w:rsidRPr="00A13538">
              <w:t>0.1</w:t>
            </w:r>
          </w:p>
        </w:tc>
      </w:tr>
      <w:tr w:rsidR="00617693" w:rsidTr="00617693">
        <w:tc>
          <w:tcPr>
            <w:tcW w:w="3227" w:type="dxa"/>
            <w:vAlign w:val="center"/>
          </w:tcPr>
          <w:p w:rsidR="00617693" w:rsidRDefault="00617693" w:rsidP="00617693">
            <w:pPr>
              <w:pStyle w:val="Corpsdetexte"/>
              <w:spacing w:after="60"/>
              <w:jc w:val="center"/>
            </w:pPr>
            <w:r>
              <w:t>HP aliphatique C10-C12</w:t>
            </w:r>
          </w:p>
        </w:tc>
        <w:tc>
          <w:tcPr>
            <w:tcW w:w="1984" w:type="dxa"/>
            <w:vAlign w:val="center"/>
          </w:tcPr>
          <w:p w:rsidR="00617693" w:rsidRDefault="00617693" w:rsidP="00617693">
            <w:pPr>
              <w:pStyle w:val="Corpsdetexte"/>
              <w:spacing w:after="60"/>
              <w:jc w:val="center"/>
            </w:pPr>
            <w:r>
              <w:t>18</w:t>
            </w:r>
          </w:p>
        </w:tc>
        <w:tc>
          <w:tcPr>
            <w:tcW w:w="1734" w:type="dxa"/>
            <w:vAlign w:val="center"/>
          </w:tcPr>
          <w:p w:rsidR="00617693" w:rsidRDefault="00617693" w:rsidP="00617693">
            <w:pPr>
              <w:pStyle w:val="Corpsdetexte"/>
              <w:spacing w:after="60"/>
              <w:jc w:val="center"/>
            </w:pPr>
            <w:r>
              <w:t>3.5</w:t>
            </w:r>
          </w:p>
        </w:tc>
        <w:tc>
          <w:tcPr>
            <w:tcW w:w="2303" w:type="dxa"/>
            <w:vAlign w:val="center"/>
          </w:tcPr>
          <w:p w:rsidR="00617693" w:rsidRDefault="00617693" w:rsidP="00617693">
            <w:pPr>
              <w:pStyle w:val="Corpsdetexte"/>
              <w:spacing w:after="60"/>
              <w:jc w:val="center"/>
            </w:pPr>
            <w:r w:rsidRPr="00A13538">
              <w:t>0.1</w:t>
            </w:r>
          </w:p>
        </w:tc>
      </w:tr>
      <w:tr w:rsidR="00617693" w:rsidTr="00617693">
        <w:tc>
          <w:tcPr>
            <w:tcW w:w="3227" w:type="dxa"/>
            <w:vAlign w:val="center"/>
          </w:tcPr>
          <w:p w:rsidR="00617693" w:rsidRDefault="00617693" w:rsidP="00617693">
            <w:pPr>
              <w:pStyle w:val="Corpsdetexte"/>
              <w:spacing w:after="60"/>
              <w:jc w:val="center"/>
            </w:pPr>
            <w:r>
              <w:t>HP aliphatique C12-C16</w:t>
            </w:r>
          </w:p>
        </w:tc>
        <w:tc>
          <w:tcPr>
            <w:tcW w:w="1984" w:type="dxa"/>
            <w:vAlign w:val="center"/>
          </w:tcPr>
          <w:p w:rsidR="00617693" w:rsidRDefault="00617693" w:rsidP="00617693">
            <w:pPr>
              <w:pStyle w:val="Corpsdetexte"/>
              <w:spacing w:after="60"/>
              <w:jc w:val="center"/>
            </w:pPr>
            <w:r>
              <w:t>928</w:t>
            </w:r>
          </w:p>
        </w:tc>
        <w:tc>
          <w:tcPr>
            <w:tcW w:w="1734" w:type="dxa"/>
            <w:vAlign w:val="center"/>
          </w:tcPr>
          <w:p w:rsidR="00617693" w:rsidRDefault="00617693" w:rsidP="00617693">
            <w:pPr>
              <w:pStyle w:val="Corpsdetexte"/>
              <w:spacing w:after="60"/>
              <w:jc w:val="center"/>
            </w:pPr>
            <w:r>
              <w:t>21</w:t>
            </w:r>
          </w:p>
        </w:tc>
        <w:tc>
          <w:tcPr>
            <w:tcW w:w="2303" w:type="dxa"/>
            <w:vAlign w:val="center"/>
          </w:tcPr>
          <w:p w:rsidR="00617693" w:rsidRDefault="00617693" w:rsidP="00617693">
            <w:pPr>
              <w:pStyle w:val="Corpsdetexte"/>
              <w:spacing w:after="60"/>
              <w:jc w:val="center"/>
            </w:pPr>
            <w:r w:rsidRPr="00A13538">
              <w:t>0.1</w:t>
            </w:r>
          </w:p>
        </w:tc>
      </w:tr>
      <w:tr w:rsidR="00617693" w:rsidTr="00617693">
        <w:tc>
          <w:tcPr>
            <w:tcW w:w="3227" w:type="dxa"/>
            <w:vAlign w:val="center"/>
          </w:tcPr>
          <w:p w:rsidR="00617693" w:rsidRDefault="00617693" w:rsidP="00617693">
            <w:pPr>
              <w:pStyle w:val="Corpsdetexte"/>
              <w:spacing w:after="60"/>
              <w:jc w:val="center"/>
            </w:pPr>
            <w:r>
              <w:t>HP aliphatique C16-C21</w:t>
            </w:r>
          </w:p>
        </w:tc>
        <w:tc>
          <w:tcPr>
            <w:tcW w:w="1984" w:type="dxa"/>
            <w:vAlign w:val="center"/>
          </w:tcPr>
          <w:p w:rsidR="00617693" w:rsidRDefault="00617693" w:rsidP="00617693">
            <w:pPr>
              <w:pStyle w:val="Corpsdetexte"/>
              <w:spacing w:after="60"/>
              <w:jc w:val="center"/>
            </w:pPr>
            <w:r>
              <w:t>3150</w:t>
            </w:r>
          </w:p>
        </w:tc>
        <w:tc>
          <w:tcPr>
            <w:tcW w:w="1734" w:type="dxa"/>
            <w:vAlign w:val="center"/>
          </w:tcPr>
          <w:p w:rsidR="00617693" w:rsidRDefault="00617693" w:rsidP="00617693">
            <w:pPr>
              <w:pStyle w:val="Corpsdetexte"/>
              <w:spacing w:after="60"/>
              <w:jc w:val="center"/>
            </w:pPr>
            <w:r>
              <w:t>21</w:t>
            </w:r>
          </w:p>
        </w:tc>
        <w:tc>
          <w:tcPr>
            <w:tcW w:w="2303" w:type="dxa"/>
            <w:vAlign w:val="center"/>
          </w:tcPr>
          <w:p w:rsidR="00617693" w:rsidRDefault="00617693" w:rsidP="00617693">
            <w:pPr>
              <w:pStyle w:val="Corpsdetexte"/>
              <w:spacing w:after="60"/>
              <w:jc w:val="center"/>
            </w:pPr>
            <w:r w:rsidRPr="00A13538">
              <w:t>0.1</w:t>
            </w:r>
          </w:p>
        </w:tc>
      </w:tr>
      <w:tr w:rsidR="00617693" w:rsidTr="00617693">
        <w:tc>
          <w:tcPr>
            <w:tcW w:w="3227" w:type="dxa"/>
            <w:vAlign w:val="center"/>
          </w:tcPr>
          <w:p w:rsidR="00617693" w:rsidRDefault="00617693" w:rsidP="00617693">
            <w:pPr>
              <w:pStyle w:val="Corpsdetexte"/>
              <w:spacing w:after="60"/>
              <w:jc w:val="center"/>
            </w:pPr>
            <w:r>
              <w:t>HP aliphatique C21-C35</w:t>
            </w:r>
          </w:p>
        </w:tc>
        <w:tc>
          <w:tcPr>
            <w:tcW w:w="1984" w:type="dxa"/>
            <w:vAlign w:val="center"/>
          </w:tcPr>
          <w:p w:rsidR="00617693" w:rsidRDefault="00617693" w:rsidP="00617693">
            <w:pPr>
              <w:pStyle w:val="Corpsdetexte"/>
              <w:spacing w:after="60"/>
              <w:jc w:val="center"/>
            </w:pPr>
            <w:r>
              <w:t>601</w:t>
            </w:r>
          </w:p>
        </w:tc>
        <w:tc>
          <w:tcPr>
            <w:tcW w:w="1734" w:type="dxa"/>
            <w:vAlign w:val="center"/>
          </w:tcPr>
          <w:p w:rsidR="00617693" w:rsidRDefault="00617693" w:rsidP="00617693">
            <w:pPr>
              <w:pStyle w:val="Corpsdetexte"/>
              <w:spacing w:after="60"/>
              <w:jc w:val="center"/>
            </w:pPr>
            <w:r>
              <w:t>18</w:t>
            </w:r>
          </w:p>
        </w:tc>
        <w:tc>
          <w:tcPr>
            <w:tcW w:w="2303" w:type="dxa"/>
            <w:vAlign w:val="center"/>
          </w:tcPr>
          <w:p w:rsidR="00617693" w:rsidRDefault="00617693" w:rsidP="00617693">
            <w:pPr>
              <w:pStyle w:val="Corpsdetexte"/>
              <w:spacing w:after="60"/>
              <w:jc w:val="center"/>
            </w:pPr>
            <w:r w:rsidRPr="00A13538">
              <w:t>0.1</w:t>
            </w:r>
          </w:p>
        </w:tc>
      </w:tr>
      <w:tr w:rsidR="00617693" w:rsidTr="00617693">
        <w:tc>
          <w:tcPr>
            <w:tcW w:w="3227" w:type="dxa"/>
            <w:vAlign w:val="center"/>
          </w:tcPr>
          <w:p w:rsidR="00617693" w:rsidRDefault="00617693" w:rsidP="00617693">
            <w:pPr>
              <w:pStyle w:val="Corpsdetexte"/>
              <w:spacing w:after="60"/>
              <w:jc w:val="center"/>
            </w:pPr>
            <w:r>
              <w:lastRenderedPageBreak/>
              <w:t>HP aromatique C10-C12</w:t>
            </w:r>
          </w:p>
        </w:tc>
        <w:tc>
          <w:tcPr>
            <w:tcW w:w="1984" w:type="dxa"/>
            <w:vAlign w:val="center"/>
          </w:tcPr>
          <w:p w:rsidR="00617693" w:rsidRDefault="00617693" w:rsidP="00617693">
            <w:pPr>
              <w:pStyle w:val="Corpsdetexte"/>
              <w:spacing w:after="60"/>
              <w:jc w:val="center"/>
            </w:pPr>
            <w:r>
              <w:t>75</w:t>
            </w:r>
          </w:p>
        </w:tc>
        <w:tc>
          <w:tcPr>
            <w:tcW w:w="1734" w:type="dxa"/>
            <w:vAlign w:val="center"/>
          </w:tcPr>
          <w:p w:rsidR="00617693" w:rsidRDefault="00617693" w:rsidP="00617693">
            <w:pPr>
              <w:pStyle w:val="Corpsdetexte"/>
              <w:spacing w:after="60"/>
              <w:jc w:val="center"/>
            </w:pPr>
            <w:r>
              <w:t>1.5</w:t>
            </w:r>
          </w:p>
        </w:tc>
        <w:tc>
          <w:tcPr>
            <w:tcW w:w="2303" w:type="dxa"/>
            <w:vAlign w:val="center"/>
          </w:tcPr>
          <w:p w:rsidR="00617693" w:rsidRDefault="00617693" w:rsidP="00617693">
            <w:pPr>
              <w:pStyle w:val="Corpsdetexte"/>
              <w:spacing w:after="60"/>
              <w:jc w:val="center"/>
            </w:pPr>
            <w:r w:rsidRPr="00A13538">
              <w:t>0.1</w:t>
            </w:r>
          </w:p>
        </w:tc>
      </w:tr>
      <w:tr w:rsidR="00617693" w:rsidTr="00617693">
        <w:tc>
          <w:tcPr>
            <w:tcW w:w="3227" w:type="dxa"/>
            <w:vAlign w:val="center"/>
          </w:tcPr>
          <w:p w:rsidR="00617693" w:rsidRDefault="00617693" w:rsidP="00617693">
            <w:pPr>
              <w:pStyle w:val="Corpsdetexte"/>
              <w:spacing w:after="60"/>
              <w:jc w:val="center"/>
            </w:pPr>
            <w:r>
              <w:t>HP aromatique C12-C16</w:t>
            </w:r>
          </w:p>
        </w:tc>
        <w:tc>
          <w:tcPr>
            <w:tcW w:w="1984" w:type="dxa"/>
            <w:vAlign w:val="center"/>
          </w:tcPr>
          <w:p w:rsidR="00617693" w:rsidRDefault="00617693" w:rsidP="00617693">
            <w:pPr>
              <w:pStyle w:val="Corpsdetexte"/>
              <w:spacing w:after="60"/>
              <w:jc w:val="center"/>
            </w:pPr>
            <w:r>
              <w:t>398</w:t>
            </w:r>
          </w:p>
        </w:tc>
        <w:tc>
          <w:tcPr>
            <w:tcW w:w="1734" w:type="dxa"/>
            <w:vAlign w:val="center"/>
          </w:tcPr>
          <w:p w:rsidR="00617693" w:rsidRDefault="00617693" w:rsidP="00617693">
            <w:pPr>
              <w:pStyle w:val="Corpsdetexte"/>
              <w:spacing w:after="60"/>
              <w:jc w:val="center"/>
            </w:pPr>
            <w:r>
              <w:t>9</w:t>
            </w:r>
          </w:p>
        </w:tc>
        <w:tc>
          <w:tcPr>
            <w:tcW w:w="2303" w:type="dxa"/>
            <w:vAlign w:val="center"/>
          </w:tcPr>
          <w:p w:rsidR="00617693" w:rsidRDefault="00617693" w:rsidP="00617693">
            <w:pPr>
              <w:pStyle w:val="Corpsdetexte"/>
              <w:spacing w:after="60"/>
              <w:jc w:val="center"/>
            </w:pPr>
            <w:r w:rsidRPr="00224816">
              <w:t>0.1</w:t>
            </w:r>
          </w:p>
        </w:tc>
      </w:tr>
      <w:tr w:rsidR="00617693" w:rsidTr="00617693">
        <w:tc>
          <w:tcPr>
            <w:tcW w:w="3227" w:type="dxa"/>
            <w:vAlign w:val="center"/>
          </w:tcPr>
          <w:p w:rsidR="00617693" w:rsidRDefault="00617693" w:rsidP="00617693">
            <w:pPr>
              <w:pStyle w:val="Corpsdetexte"/>
              <w:spacing w:after="60"/>
              <w:jc w:val="center"/>
            </w:pPr>
            <w:r>
              <w:t>HP aromatique C16-C21</w:t>
            </w:r>
          </w:p>
        </w:tc>
        <w:tc>
          <w:tcPr>
            <w:tcW w:w="1984" w:type="dxa"/>
            <w:vAlign w:val="center"/>
          </w:tcPr>
          <w:p w:rsidR="00617693" w:rsidRDefault="00617693" w:rsidP="00617693">
            <w:pPr>
              <w:pStyle w:val="Corpsdetexte"/>
              <w:spacing w:after="60"/>
              <w:jc w:val="center"/>
            </w:pPr>
            <w:r>
              <w:t>1350</w:t>
            </w:r>
          </w:p>
        </w:tc>
        <w:tc>
          <w:tcPr>
            <w:tcW w:w="1734" w:type="dxa"/>
            <w:vAlign w:val="center"/>
          </w:tcPr>
          <w:p w:rsidR="00617693" w:rsidRDefault="00617693" w:rsidP="00617693">
            <w:pPr>
              <w:pStyle w:val="Corpsdetexte"/>
              <w:spacing w:after="60"/>
              <w:jc w:val="center"/>
            </w:pPr>
            <w:r>
              <w:t>9</w:t>
            </w:r>
          </w:p>
        </w:tc>
        <w:tc>
          <w:tcPr>
            <w:tcW w:w="2303" w:type="dxa"/>
            <w:vAlign w:val="center"/>
          </w:tcPr>
          <w:p w:rsidR="00617693" w:rsidRDefault="00617693" w:rsidP="00617693">
            <w:pPr>
              <w:pStyle w:val="Corpsdetexte"/>
              <w:spacing w:after="60"/>
              <w:jc w:val="center"/>
            </w:pPr>
            <w:r w:rsidRPr="00224816">
              <w:t>0.1</w:t>
            </w:r>
          </w:p>
        </w:tc>
      </w:tr>
      <w:tr w:rsidR="00617693" w:rsidTr="00617693">
        <w:tc>
          <w:tcPr>
            <w:tcW w:w="3227" w:type="dxa"/>
            <w:vAlign w:val="center"/>
          </w:tcPr>
          <w:p w:rsidR="00617693" w:rsidRDefault="00617693" w:rsidP="00617693">
            <w:pPr>
              <w:pStyle w:val="Corpsdetexte"/>
              <w:spacing w:after="60"/>
              <w:jc w:val="center"/>
            </w:pPr>
            <w:r>
              <w:t>HP aromatique C21-C35</w:t>
            </w:r>
          </w:p>
        </w:tc>
        <w:tc>
          <w:tcPr>
            <w:tcW w:w="1984" w:type="dxa"/>
            <w:vAlign w:val="center"/>
          </w:tcPr>
          <w:p w:rsidR="00617693" w:rsidRDefault="00617693" w:rsidP="00617693">
            <w:pPr>
              <w:pStyle w:val="Corpsdetexte"/>
              <w:spacing w:after="60"/>
              <w:jc w:val="center"/>
            </w:pPr>
            <w:r>
              <w:t>258</w:t>
            </w:r>
          </w:p>
        </w:tc>
        <w:tc>
          <w:tcPr>
            <w:tcW w:w="1734" w:type="dxa"/>
            <w:vAlign w:val="center"/>
          </w:tcPr>
          <w:p w:rsidR="00617693" w:rsidRDefault="00617693" w:rsidP="00617693">
            <w:pPr>
              <w:pStyle w:val="Corpsdetexte"/>
              <w:spacing w:after="60"/>
              <w:jc w:val="center"/>
            </w:pPr>
            <w:r>
              <w:t>7.5</w:t>
            </w:r>
          </w:p>
        </w:tc>
        <w:tc>
          <w:tcPr>
            <w:tcW w:w="2303" w:type="dxa"/>
            <w:vAlign w:val="center"/>
          </w:tcPr>
          <w:p w:rsidR="00617693" w:rsidRDefault="00617693" w:rsidP="00617693">
            <w:pPr>
              <w:pStyle w:val="Corpsdetexte"/>
              <w:spacing w:after="60"/>
              <w:jc w:val="center"/>
            </w:pPr>
            <w:r w:rsidRPr="00224816">
              <w:t>0.1</w:t>
            </w:r>
          </w:p>
        </w:tc>
      </w:tr>
    </w:tbl>
    <w:p w:rsidR="00A153D7" w:rsidRDefault="00A153D7" w:rsidP="00B10AF8">
      <w:pPr>
        <w:pStyle w:val="Corpsdetexte"/>
        <w:spacing w:after="60"/>
        <w:rPr>
          <w:b/>
        </w:rPr>
      </w:pPr>
    </w:p>
    <w:p w:rsidR="00310561" w:rsidRPr="0039115E" w:rsidRDefault="00310561" w:rsidP="00310561">
      <w:pPr>
        <w:pStyle w:val="Corpsdetexte"/>
        <w:spacing w:after="60"/>
        <w:ind w:left="426"/>
        <w:rPr>
          <w:i/>
          <w:iCs/>
        </w:rPr>
      </w:pPr>
      <w:r w:rsidRPr="0039115E">
        <w:rPr>
          <w:i/>
          <w:iCs/>
        </w:rPr>
        <w:t>Tableau 5 b :</w:t>
      </w:r>
      <w:r>
        <w:rPr>
          <w:i/>
          <w:iCs/>
        </w:rPr>
        <w:t xml:space="preserve"> </w:t>
      </w:r>
      <w:r w:rsidRPr="0039115E">
        <w:rPr>
          <w:i/>
          <w:iCs/>
        </w:rPr>
        <w:t>Concentration représentative des pollutions</w:t>
      </w:r>
    </w:p>
    <w:p w:rsidR="00A153D7" w:rsidRDefault="00A153D7" w:rsidP="00B10AF8">
      <w:pPr>
        <w:pStyle w:val="Corpsdetexte"/>
        <w:spacing w:after="60"/>
        <w:rPr>
          <w:b/>
        </w:rPr>
      </w:pPr>
    </w:p>
    <w:p w:rsidR="00A153D7" w:rsidRDefault="00A153D7" w:rsidP="00B10AF8">
      <w:pPr>
        <w:pStyle w:val="Corpsdetexte"/>
        <w:spacing w:after="60"/>
        <w:rPr>
          <w:b/>
        </w:rPr>
      </w:pPr>
    </w:p>
    <w:p w:rsidR="004960BF" w:rsidRDefault="004960BF" w:rsidP="00B10AF8">
      <w:pPr>
        <w:pStyle w:val="Corpsdetexte"/>
        <w:spacing w:after="60"/>
      </w:pPr>
      <w:proofErr w:type="spellStart"/>
      <w:r w:rsidRPr="004960BF">
        <w:rPr>
          <w:b/>
        </w:rPr>
        <w:t>Exposure</w:t>
      </w:r>
      <w:proofErr w:type="spellEnd"/>
      <w:r>
        <w:t> :</w:t>
      </w:r>
      <w:r w:rsidRPr="004960BF">
        <w:t xml:space="preserve"> </w:t>
      </w:r>
      <w:r>
        <w:t>toutes valeurs proposées par défaut par le logiciel</w:t>
      </w:r>
    </w:p>
    <w:p w:rsidR="004960BF" w:rsidRDefault="004960BF" w:rsidP="00B10AF8">
      <w:pPr>
        <w:pStyle w:val="Corpsdetexte"/>
        <w:spacing w:after="60"/>
      </w:pPr>
      <w:proofErr w:type="spellStart"/>
      <w:r w:rsidRPr="004960BF">
        <w:rPr>
          <w:b/>
        </w:rPr>
        <w:t>R</w:t>
      </w:r>
      <w:r w:rsidR="00500371" w:rsidRPr="004960BF">
        <w:rPr>
          <w:b/>
        </w:rPr>
        <w:t>isk</w:t>
      </w:r>
      <w:proofErr w:type="spellEnd"/>
      <w:r>
        <w:t> :</w:t>
      </w:r>
      <w:r w:rsidRPr="004960BF">
        <w:t xml:space="preserve"> </w:t>
      </w:r>
      <w:r>
        <w:t>toutes valeurs proposées par défaut par le logiciel</w:t>
      </w:r>
    </w:p>
    <w:p w:rsidR="00500371" w:rsidRDefault="004960BF" w:rsidP="00B10AF8">
      <w:pPr>
        <w:pStyle w:val="Corpsdetexte"/>
        <w:spacing w:after="60"/>
      </w:pPr>
      <w:r w:rsidRPr="004960BF">
        <w:rPr>
          <w:b/>
        </w:rPr>
        <w:t>Concentration limite</w:t>
      </w:r>
      <w:r>
        <w:t> : toutes valeurs proposées par défaut par le logiciel</w:t>
      </w:r>
    </w:p>
    <w:p w:rsidR="009C2292" w:rsidRPr="00EA3042" w:rsidRDefault="009C2292" w:rsidP="00A11C08">
      <w:pPr>
        <w:pStyle w:val="Corpsdetexte"/>
        <w:spacing w:after="60"/>
        <w:ind w:left="567"/>
      </w:pPr>
    </w:p>
    <w:p w:rsidR="00A11C08" w:rsidRDefault="00A11C08" w:rsidP="00A11C08">
      <w:pPr>
        <w:pStyle w:val="Corpsdetexte"/>
        <w:spacing w:after="60"/>
        <w:ind w:left="567"/>
      </w:pPr>
      <w:r>
        <w:t>4.1.2</w:t>
      </w:r>
      <w:proofErr w:type="gramStart"/>
      <w:r>
        <w:t>.b</w:t>
      </w:r>
      <w:proofErr w:type="gramEnd"/>
      <w:r>
        <w:t xml:space="preserve"> Interprétation des résultats </w:t>
      </w:r>
    </w:p>
    <w:p w:rsidR="00B0734A" w:rsidRDefault="00B0734A" w:rsidP="00B0734A">
      <w:pPr>
        <w:pStyle w:val="Corpsdetexte"/>
        <w:spacing w:after="60"/>
        <w:rPr>
          <w:b/>
        </w:rPr>
      </w:pPr>
    </w:p>
    <w:p w:rsidR="007415FE" w:rsidRDefault="007415FE" w:rsidP="00AF30CD">
      <w:pPr>
        <w:pStyle w:val="Corpsdetexte"/>
        <w:spacing w:after="60"/>
      </w:pPr>
      <w:r>
        <w:t xml:space="preserve">Analyse des incertitudes : </w:t>
      </w:r>
    </w:p>
    <w:p w:rsidR="007415FE" w:rsidRDefault="00310561" w:rsidP="00AF30CD">
      <w:pPr>
        <w:pStyle w:val="Corpsdetexte"/>
        <w:spacing w:after="60"/>
      </w:pPr>
      <w:r>
        <w:t>Le tableau 5c</w:t>
      </w:r>
      <w:r w:rsidR="000513AD">
        <w:t xml:space="preserve"> ci-dessous montre que les paramètres choisi</w:t>
      </w:r>
      <w:r w:rsidR="00BE08DE">
        <w:t>s</w:t>
      </w:r>
      <w:r w:rsidR="000513AD">
        <w:t xml:space="preserve"> pour l</w:t>
      </w:r>
      <w:r w:rsidR="00523769">
        <w:t>a</w:t>
      </w:r>
      <w:r w:rsidR="000513AD">
        <w:t xml:space="preserve"> simulation</w:t>
      </w:r>
      <w:r w:rsidR="00523769">
        <w:t xml:space="preserve"> 4</w:t>
      </w:r>
      <w:r w:rsidR="000513AD">
        <w:t xml:space="preserve"> sont soit réaliste</w:t>
      </w:r>
      <w:r w:rsidR="00BE08DE">
        <w:t>s</w:t>
      </w:r>
      <w:r w:rsidR="000513AD">
        <w:t xml:space="preserve"> soit sécuritaire</w:t>
      </w:r>
      <w:r w:rsidR="00BE08DE">
        <w:t>s</w:t>
      </w:r>
      <w:r w:rsidR="000513AD">
        <w:t>.</w:t>
      </w:r>
    </w:p>
    <w:p w:rsidR="009C23EF" w:rsidRDefault="009C23EF" w:rsidP="00AF30CD">
      <w:pPr>
        <w:pStyle w:val="Corpsdetexte"/>
        <w:spacing w:after="60"/>
      </w:pPr>
    </w:p>
    <w:tbl>
      <w:tblPr>
        <w:tblW w:w="5000" w:type="pct"/>
        <w:tblCellMar>
          <w:left w:w="70" w:type="dxa"/>
          <w:right w:w="70" w:type="dxa"/>
        </w:tblCellMar>
        <w:tblLook w:val="04A0"/>
      </w:tblPr>
      <w:tblGrid>
        <w:gridCol w:w="1841"/>
        <w:gridCol w:w="1841"/>
        <w:gridCol w:w="1841"/>
        <w:gridCol w:w="2159"/>
        <w:gridCol w:w="1528"/>
      </w:tblGrid>
      <w:tr w:rsidR="00026C84" w:rsidRPr="00026C84" w:rsidTr="00026C84">
        <w:trPr>
          <w:trHeight w:val="300"/>
          <w:tblHeader/>
        </w:trPr>
        <w:tc>
          <w:tcPr>
            <w:tcW w:w="1037" w:type="pct"/>
            <w:tcBorders>
              <w:top w:val="single" w:sz="8" w:space="0" w:color="auto"/>
              <w:left w:val="single" w:sz="8" w:space="0" w:color="auto"/>
              <w:bottom w:val="single" w:sz="4" w:space="0" w:color="auto"/>
              <w:right w:val="single" w:sz="4" w:space="0" w:color="auto"/>
            </w:tcBorders>
            <w:shd w:val="clear" w:color="000000" w:fill="EEECE1"/>
            <w:vAlign w:val="center"/>
            <w:hideMark/>
          </w:tcPr>
          <w:p w:rsidR="00026C84" w:rsidRPr="00026C84" w:rsidRDefault="00026C84" w:rsidP="00026C84">
            <w:pPr>
              <w:spacing w:after="0"/>
              <w:jc w:val="center"/>
              <w:rPr>
                <w:rFonts w:ascii="Calibri" w:eastAsia="Times New Roman" w:hAnsi="Calibri"/>
                <w:b/>
                <w:bCs/>
                <w:color w:val="000000"/>
                <w:spacing w:val="0"/>
                <w:sz w:val="22"/>
                <w:szCs w:val="22"/>
                <w:lang w:eastAsia="fr-BE"/>
              </w:rPr>
            </w:pPr>
            <w:r w:rsidRPr="00026C84">
              <w:rPr>
                <w:rFonts w:ascii="Calibri" w:eastAsia="Times New Roman" w:hAnsi="Calibri"/>
                <w:b/>
                <w:bCs/>
                <w:color w:val="000000"/>
                <w:spacing w:val="0"/>
                <w:sz w:val="22"/>
                <w:szCs w:val="22"/>
                <w:lang w:eastAsia="fr-BE"/>
              </w:rPr>
              <w:t>Etape</w:t>
            </w:r>
          </w:p>
        </w:tc>
        <w:tc>
          <w:tcPr>
            <w:tcW w:w="1037" w:type="pct"/>
            <w:tcBorders>
              <w:top w:val="single" w:sz="8" w:space="0" w:color="auto"/>
              <w:left w:val="nil"/>
              <w:bottom w:val="single" w:sz="4" w:space="0" w:color="auto"/>
              <w:right w:val="single" w:sz="4" w:space="0" w:color="auto"/>
            </w:tcBorders>
            <w:shd w:val="clear" w:color="000000" w:fill="EEECE1"/>
            <w:vAlign w:val="center"/>
            <w:hideMark/>
          </w:tcPr>
          <w:p w:rsidR="00026C84" w:rsidRPr="00026C84" w:rsidRDefault="00026C84" w:rsidP="00026C84">
            <w:pPr>
              <w:spacing w:after="0"/>
              <w:jc w:val="center"/>
              <w:rPr>
                <w:rFonts w:ascii="Calibri" w:eastAsia="Times New Roman" w:hAnsi="Calibri"/>
                <w:b/>
                <w:bCs/>
                <w:color w:val="000000"/>
                <w:spacing w:val="0"/>
                <w:sz w:val="22"/>
                <w:szCs w:val="22"/>
                <w:lang w:eastAsia="fr-BE"/>
              </w:rPr>
            </w:pPr>
            <w:r w:rsidRPr="00026C84">
              <w:rPr>
                <w:rFonts w:ascii="Calibri" w:eastAsia="Times New Roman" w:hAnsi="Calibri"/>
                <w:b/>
                <w:bCs/>
                <w:color w:val="000000"/>
                <w:spacing w:val="0"/>
                <w:sz w:val="22"/>
                <w:szCs w:val="22"/>
                <w:lang w:eastAsia="fr-BE"/>
              </w:rPr>
              <w:t>données concernée</w:t>
            </w:r>
            <w:r w:rsidR="00617693">
              <w:rPr>
                <w:rFonts w:ascii="Calibri" w:eastAsia="Times New Roman" w:hAnsi="Calibri"/>
                <w:b/>
                <w:bCs/>
                <w:color w:val="000000"/>
                <w:spacing w:val="0"/>
                <w:sz w:val="22"/>
                <w:szCs w:val="22"/>
                <w:lang w:eastAsia="fr-BE"/>
              </w:rPr>
              <w:t>s</w:t>
            </w:r>
          </w:p>
        </w:tc>
        <w:tc>
          <w:tcPr>
            <w:tcW w:w="1037" w:type="pct"/>
            <w:tcBorders>
              <w:top w:val="single" w:sz="8" w:space="0" w:color="auto"/>
              <w:left w:val="nil"/>
              <w:bottom w:val="single" w:sz="4" w:space="0" w:color="auto"/>
              <w:right w:val="single" w:sz="4" w:space="0" w:color="auto"/>
            </w:tcBorders>
            <w:shd w:val="clear" w:color="000000" w:fill="EEECE1"/>
            <w:vAlign w:val="center"/>
            <w:hideMark/>
          </w:tcPr>
          <w:p w:rsidR="00026C84" w:rsidRPr="00026C84" w:rsidRDefault="00026C84" w:rsidP="00026C84">
            <w:pPr>
              <w:spacing w:after="0"/>
              <w:jc w:val="center"/>
              <w:rPr>
                <w:rFonts w:ascii="Calibri" w:eastAsia="Times New Roman" w:hAnsi="Calibri"/>
                <w:b/>
                <w:bCs/>
                <w:color w:val="000000"/>
                <w:spacing w:val="0"/>
                <w:sz w:val="22"/>
                <w:szCs w:val="22"/>
                <w:lang w:eastAsia="fr-BE"/>
              </w:rPr>
            </w:pPr>
            <w:r w:rsidRPr="00026C84">
              <w:rPr>
                <w:rFonts w:ascii="Calibri" w:eastAsia="Times New Roman" w:hAnsi="Calibri"/>
                <w:b/>
                <w:bCs/>
                <w:color w:val="000000"/>
                <w:spacing w:val="0"/>
                <w:sz w:val="22"/>
                <w:szCs w:val="22"/>
                <w:lang w:eastAsia="fr-BE"/>
              </w:rPr>
              <w:t>Onglet dans S-Risk</w:t>
            </w:r>
          </w:p>
        </w:tc>
        <w:tc>
          <w:tcPr>
            <w:tcW w:w="1021" w:type="pct"/>
            <w:tcBorders>
              <w:top w:val="single" w:sz="8" w:space="0" w:color="auto"/>
              <w:left w:val="nil"/>
              <w:bottom w:val="single" w:sz="4" w:space="0" w:color="auto"/>
              <w:right w:val="single" w:sz="4" w:space="0" w:color="auto"/>
            </w:tcBorders>
            <w:shd w:val="clear" w:color="000000" w:fill="EEECE1"/>
            <w:vAlign w:val="center"/>
            <w:hideMark/>
          </w:tcPr>
          <w:p w:rsidR="00026C84" w:rsidRPr="00026C84" w:rsidRDefault="00026C84" w:rsidP="00026C84">
            <w:pPr>
              <w:spacing w:after="0"/>
              <w:jc w:val="center"/>
              <w:rPr>
                <w:rFonts w:ascii="Calibri" w:eastAsia="Times New Roman" w:hAnsi="Calibri"/>
                <w:b/>
                <w:bCs/>
                <w:color w:val="000000"/>
                <w:spacing w:val="0"/>
                <w:sz w:val="22"/>
                <w:szCs w:val="22"/>
                <w:lang w:eastAsia="fr-BE"/>
              </w:rPr>
            </w:pPr>
            <w:r w:rsidRPr="00026C84">
              <w:rPr>
                <w:rFonts w:ascii="Calibri" w:eastAsia="Times New Roman" w:hAnsi="Calibri"/>
                <w:b/>
                <w:bCs/>
                <w:color w:val="000000"/>
                <w:spacing w:val="0"/>
                <w:sz w:val="22"/>
                <w:szCs w:val="22"/>
                <w:lang w:eastAsia="fr-BE"/>
              </w:rPr>
              <w:t xml:space="preserve"> hypothèse retenue</w:t>
            </w:r>
          </w:p>
        </w:tc>
        <w:tc>
          <w:tcPr>
            <w:tcW w:w="867" w:type="pct"/>
            <w:tcBorders>
              <w:top w:val="single" w:sz="8" w:space="0" w:color="auto"/>
              <w:left w:val="nil"/>
              <w:bottom w:val="single" w:sz="4" w:space="0" w:color="auto"/>
              <w:right w:val="single" w:sz="8" w:space="0" w:color="auto"/>
            </w:tcBorders>
            <w:shd w:val="clear" w:color="000000" w:fill="EEECE1"/>
            <w:vAlign w:val="center"/>
            <w:hideMark/>
          </w:tcPr>
          <w:p w:rsidR="00026C84" w:rsidRPr="00026C84" w:rsidRDefault="00026C84" w:rsidP="00026C84">
            <w:pPr>
              <w:spacing w:after="0"/>
              <w:jc w:val="center"/>
              <w:rPr>
                <w:rFonts w:ascii="Calibri" w:eastAsia="Times New Roman" w:hAnsi="Calibri"/>
                <w:b/>
                <w:bCs/>
                <w:color w:val="000000"/>
                <w:spacing w:val="0"/>
                <w:sz w:val="22"/>
                <w:szCs w:val="22"/>
                <w:lang w:eastAsia="fr-BE"/>
              </w:rPr>
            </w:pPr>
            <w:r w:rsidRPr="00026C84">
              <w:rPr>
                <w:rFonts w:ascii="Calibri" w:eastAsia="Times New Roman" w:hAnsi="Calibri"/>
                <w:b/>
                <w:bCs/>
                <w:color w:val="000000"/>
                <w:spacing w:val="0"/>
                <w:sz w:val="22"/>
                <w:szCs w:val="22"/>
                <w:lang w:eastAsia="fr-BE"/>
              </w:rPr>
              <w:t>influence sur l'ER</w:t>
            </w:r>
          </w:p>
        </w:tc>
      </w:tr>
      <w:tr w:rsidR="00026C84" w:rsidRPr="00026C84" w:rsidTr="00026C84">
        <w:trPr>
          <w:trHeight w:val="1500"/>
        </w:trPr>
        <w:tc>
          <w:tcPr>
            <w:tcW w:w="1037" w:type="pct"/>
            <w:tcBorders>
              <w:top w:val="nil"/>
              <w:left w:val="single" w:sz="8" w:space="0" w:color="auto"/>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identification des dangers</w:t>
            </w: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analyses de polluants, des sols et des eaux souterraine</w:t>
            </w:r>
            <w:r w:rsidR="00617693">
              <w:rPr>
                <w:rFonts w:ascii="Calibri" w:eastAsia="Times New Roman" w:hAnsi="Calibri"/>
                <w:color w:val="000000"/>
                <w:spacing w:val="0"/>
                <w:sz w:val="22"/>
                <w:szCs w:val="22"/>
                <w:lang w:eastAsia="fr-BE"/>
              </w:rPr>
              <w:t>s</w:t>
            </w: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 </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plan échantillonnage, méthode prélèvement, analyses, … conformément au GREC et au CWEA</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617693"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R</w:t>
            </w:r>
            <w:r w:rsidR="00026C84" w:rsidRPr="00026C84">
              <w:rPr>
                <w:rFonts w:ascii="Calibri" w:eastAsia="Times New Roman" w:hAnsi="Calibri"/>
                <w:color w:val="000000"/>
                <w:spacing w:val="0"/>
                <w:sz w:val="22"/>
                <w:szCs w:val="22"/>
                <w:lang w:eastAsia="fr-BE"/>
              </w:rPr>
              <w:t>éaliste</w:t>
            </w:r>
            <w:r>
              <w:rPr>
                <w:rFonts w:ascii="Calibri" w:eastAsia="Times New Roman" w:hAnsi="Calibri"/>
                <w:color w:val="000000"/>
                <w:spacing w:val="0"/>
                <w:sz w:val="22"/>
                <w:szCs w:val="22"/>
                <w:lang w:eastAsia="fr-BE"/>
              </w:rPr>
              <w:t>, pas de problème particulier rencontré</w:t>
            </w:r>
          </w:p>
        </w:tc>
      </w:tr>
      <w:tr w:rsidR="00026C84" w:rsidRPr="00026C84" w:rsidTr="00026C84">
        <w:trPr>
          <w:trHeight w:val="1500"/>
        </w:trPr>
        <w:tc>
          <w:tcPr>
            <w:tcW w:w="1037" w:type="pct"/>
            <w:vMerge w:val="restart"/>
            <w:tcBorders>
              <w:top w:val="nil"/>
              <w:left w:val="single" w:sz="8" w:space="0" w:color="auto"/>
              <w:bottom w:val="single" w:sz="4" w:space="0" w:color="auto"/>
              <w:right w:val="single" w:sz="4" w:space="0" w:color="auto"/>
            </w:tcBorders>
            <w:shd w:val="clear" w:color="auto" w:fill="auto"/>
            <w:vAlign w:val="center"/>
            <w:hideMark/>
          </w:tcPr>
          <w:p w:rsidR="00026C84" w:rsidRPr="00026C84" w:rsidRDefault="00026C84" w:rsidP="00026C84">
            <w:pPr>
              <w:spacing w:after="0"/>
              <w:jc w:val="center"/>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estimation de l'exposition</w:t>
            </w:r>
          </w:p>
        </w:tc>
        <w:tc>
          <w:tcPr>
            <w:tcW w:w="1037" w:type="pct"/>
            <w:vMerge w:val="restart"/>
            <w:tcBorders>
              <w:top w:val="nil"/>
              <w:left w:val="single" w:sz="4" w:space="0" w:color="auto"/>
              <w:bottom w:val="single" w:sz="4" w:space="0" w:color="auto"/>
              <w:right w:val="single" w:sz="4" w:space="0" w:color="auto"/>
            </w:tcBorders>
            <w:shd w:val="clear" w:color="auto" w:fill="auto"/>
            <w:vAlign w:val="center"/>
            <w:hideMark/>
          </w:tcPr>
          <w:p w:rsidR="00026C84" w:rsidRPr="00026C84" w:rsidRDefault="00026C84" w:rsidP="00026C84">
            <w:pPr>
              <w:spacing w:after="0"/>
              <w:jc w:val="center"/>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paramètre d'exposition</w:t>
            </w: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Scénario</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résidentiel sans jardin et voie d'exposition par</w:t>
            </w:r>
            <w:r w:rsidR="00617693">
              <w:rPr>
                <w:rFonts w:ascii="Calibri" w:eastAsia="Times New Roman" w:hAnsi="Calibri"/>
                <w:color w:val="000000"/>
                <w:spacing w:val="0"/>
                <w:sz w:val="22"/>
                <w:szCs w:val="22"/>
                <w:lang w:eastAsia="fr-BE"/>
              </w:rPr>
              <w:t xml:space="preserve"> ingestion de</w:t>
            </w:r>
            <w:r w:rsidRPr="00026C84">
              <w:rPr>
                <w:rFonts w:ascii="Calibri" w:eastAsia="Times New Roman" w:hAnsi="Calibri"/>
                <w:color w:val="000000"/>
                <w:spacing w:val="0"/>
                <w:sz w:val="22"/>
                <w:szCs w:val="22"/>
                <w:lang w:eastAsia="fr-BE"/>
              </w:rPr>
              <w:t xml:space="preserve"> particule de sol et de poussière non pris en compte</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correspond à la situation future du terrain vu la présence d’une dalle qui sera maintenue</w:t>
            </w:r>
          </w:p>
        </w:tc>
      </w:tr>
      <w:tr w:rsidR="00026C84" w:rsidRPr="00026C84" w:rsidTr="00026C84">
        <w:trPr>
          <w:trHeight w:val="30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roofErr w:type="spellStart"/>
            <w:r w:rsidRPr="00026C84">
              <w:rPr>
                <w:rFonts w:ascii="Calibri" w:eastAsia="Times New Roman" w:hAnsi="Calibri"/>
                <w:color w:val="000000"/>
                <w:spacing w:val="0"/>
                <w:sz w:val="22"/>
                <w:szCs w:val="22"/>
                <w:lang w:eastAsia="fr-BE"/>
              </w:rPr>
              <w:t>Chemicals</w:t>
            </w:r>
            <w:proofErr w:type="spellEnd"/>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 xml:space="preserve">chacun des polluants dépassant la VSH, autant dans le remblai que pour la tache de pollution, c'est-à-dire cadmium, plomb, </w:t>
            </w:r>
            <w:proofErr w:type="spellStart"/>
            <w:r w:rsidRPr="00026C84">
              <w:rPr>
                <w:rFonts w:ascii="Calibri" w:eastAsia="Times New Roman" w:hAnsi="Calibri"/>
                <w:color w:val="000000"/>
                <w:spacing w:val="0"/>
                <w:sz w:val="22"/>
                <w:szCs w:val="22"/>
                <w:lang w:eastAsia="fr-BE"/>
              </w:rPr>
              <w:t>benzo</w:t>
            </w:r>
            <w:proofErr w:type="spellEnd"/>
            <w:r w:rsidRPr="00026C84">
              <w:rPr>
                <w:rFonts w:ascii="Calibri" w:eastAsia="Times New Roman" w:hAnsi="Calibri"/>
                <w:color w:val="000000"/>
                <w:spacing w:val="0"/>
                <w:sz w:val="22"/>
                <w:szCs w:val="22"/>
                <w:lang w:eastAsia="fr-BE"/>
              </w:rPr>
              <w:t>(b</w:t>
            </w:r>
            <w:proofErr w:type="gramStart"/>
            <w:r w:rsidRPr="00026C84">
              <w:rPr>
                <w:rFonts w:ascii="Calibri" w:eastAsia="Times New Roman" w:hAnsi="Calibri"/>
                <w:color w:val="000000"/>
                <w:spacing w:val="0"/>
                <w:sz w:val="22"/>
                <w:szCs w:val="22"/>
                <w:lang w:eastAsia="fr-BE"/>
              </w:rPr>
              <w:t>)</w:t>
            </w:r>
            <w:proofErr w:type="spellStart"/>
            <w:r w:rsidRPr="00026C84">
              <w:rPr>
                <w:rFonts w:ascii="Calibri" w:eastAsia="Times New Roman" w:hAnsi="Calibri"/>
                <w:color w:val="000000"/>
                <w:spacing w:val="0"/>
                <w:sz w:val="22"/>
                <w:szCs w:val="22"/>
                <w:lang w:eastAsia="fr-BE"/>
              </w:rPr>
              <w:t>fluoranthène</w:t>
            </w:r>
            <w:proofErr w:type="spellEnd"/>
            <w:proofErr w:type="gramEnd"/>
            <w:r w:rsidRPr="00026C84">
              <w:rPr>
                <w:rFonts w:ascii="Calibri" w:eastAsia="Times New Roman" w:hAnsi="Calibri"/>
                <w:color w:val="000000"/>
                <w:spacing w:val="0"/>
                <w:sz w:val="22"/>
                <w:szCs w:val="22"/>
                <w:lang w:eastAsia="fr-BE"/>
              </w:rPr>
              <w:t xml:space="preserve">, </w:t>
            </w:r>
            <w:proofErr w:type="spellStart"/>
            <w:r w:rsidRPr="00026C84">
              <w:rPr>
                <w:rFonts w:ascii="Calibri" w:eastAsia="Times New Roman" w:hAnsi="Calibri"/>
                <w:color w:val="000000"/>
                <w:spacing w:val="0"/>
                <w:sz w:val="22"/>
                <w:szCs w:val="22"/>
                <w:lang w:eastAsia="fr-BE"/>
              </w:rPr>
              <w:t>benzo</w:t>
            </w:r>
            <w:proofErr w:type="spellEnd"/>
            <w:r w:rsidRPr="00026C84">
              <w:rPr>
                <w:rFonts w:ascii="Calibri" w:eastAsia="Times New Roman" w:hAnsi="Calibri"/>
                <w:color w:val="000000"/>
                <w:spacing w:val="0"/>
                <w:sz w:val="22"/>
                <w:szCs w:val="22"/>
                <w:lang w:eastAsia="fr-BE"/>
              </w:rPr>
              <w:t>(k)</w:t>
            </w:r>
            <w:proofErr w:type="spellStart"/>
            <w:r w:rsidRPr="00026C84">
              <w:rPr>
                <w:rFonts w:ascii="Calibri" w:eastAsia="Times New Roman" w:hAnsi="Calibri"/>
                <w:color w:val="000000"/>
                <w:spacing w:val="0"/>
                <w:sz w:val="22"/>
                <w:szCs w:val="22"/>
                <w:lang w:eastAsia="fr-BE"/>
              </w:rPr>
              <w:t>fluoranthène</w:t>
            </w:r>
            <w:proofErr w:type="spellEnd"/>
            <w:r w:rsidRPr="00026C84">
              <w:rPr>
                <w:rFonts w:ascii="Calibri" w:eastAsia="Times New Roman" w:hAnsi="Calibri"/>
                <w:color w:val="000000"/>
                <w:spacing w:val="0"/>
                <w:sz w:val="22"/>
                <w:szCs w:val="22"/>
                <w:lang w:eastAsia="fr-BE"/>
              </w:rPr>
              <w:t>, et hydrocarbures pétroliers fractions EC &gt;10-35</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réaliste</w:t>
            </w:r>
          </w:p>
        </w:tc>
      </w:tr>
      <w:tr w:rsidR="00026C84" w:rsidRPr="00026C84" w:rsidTr="00026C84">
        <w:trPr>
          <w:trHeight w:val="24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roofErr w:type="spellStart"/>
            <w:r w:rsidRPr="00026C84">
              <w:rPr>
                <w:rFonts w:ascii="Calibri" w:eastAsia="Times New Roman" w:hAnsi="Calibri"/>
                <w:color w:val="000000"/>
                <w:spacing w:val="0"/>
                <w:sz w:val="22"/>
                <w:szCs w:val="22"/>
                <w:lang w:eastAsia="fr-BE"/>
              </w:rPr>
              <w:t>Soil</w:t>
            </w:r>
            <w:proofErr w:type="spellEnd"/>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coupe du profil type, avec valeurs d'argile, matière organique et pH proposé par défaut par S-Risk. Le terrain ne se situe pa</w:t>
            </w:r>
            <w:r w:rsidR="00617693">
              <w:rPr>
                <w:rFonts w:ascii="Calibri" w:eastAsia="Times New Roman" w:hAnsi="Calibri"/>
                <w:color w:val="000000"/>
                <w:spacing w:val="0"/>
                <w:sz w:val="22"/>
                <w:szCs w:val="22"/>
                <w:lang w:eastAsia="fr-BE"/>
              </w:rPr>
              <w:t>s sur un sol repris à l'annexe B3</w:t>
            </w:r>
            <w:r w:rsidRPr="00026C84">
              <w:rPr>
                <w:rFonts w:ascii="Calibri" w:eastAsia="Times New Roman" w:hAnsi="Calibri"/>
                <w:color w:val="000000"/>
                <w:spacing w:val="0"/>
                <w:sz w:val="22"/>
                <w:szCs w:val="22"/>
                <w:lang w:eastAsia="fr-BE"/>
              </w:rPr>
              <w:t xml:space="preserve"> du GRER reprenant </w:t>
            </w:r>
            <w:r w:rsidR="00617693">
              <w:rPr>
                <w:rFonts w:ascii="Calibri" w:eastAsia="Times New Roman" w:hAnsi="Calibri"/>
                <w:color w:val="000000"/>
                <w:spacing w:val="0"/>
                <w:sz w:val="22"/>
                <w:szCs w:val="22"/>
                <w:lang w:eastAsia="fr-BE"/>
              </w:rPr>
              <w:t>la l</w:t>
            </w:r>
            <w:r w:rsidR="00617693" w:rsidRPr="00617693">
              <w:rPr>
                <w:rFonts w:ascii="Calibri" w:eastAsia="Times New Roman" w:hAnsi="Calibri"/>
                <w:color w:val="000000"/>
                <w:spacing w:val="0"/>
                <w:sz w:val="22"/>
                <w:szCs w:val="22"/>
                <w:lang w:eastAsia="fr-BE"/>
              </w:rPr>
              <w:t>iste des sigles pédologiques plus favorables à la mobilité des polluants que le sol standard.</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w:t>
            </w:r>
          </w:p>
        </w:tc>
      </w:tr>
      <w:tr w:rsidR="00026C84" w:rsidRPr="00026C84" w:rsidTr="00026C84">
        <w:trPr>
          <w:trHeight w:val="9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Water</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utiliser les concentrations mesurées ou limite de détection</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réaliste</w:t>
            </w:r>
          </w:p>
        </w:tc>
      </w:tr>
      <w:tr w:rsidR="00026C84" w:rsidRPr="00026C84" w:rsidTr="00026C84">
        <w:trPr>
          <w:trHeight w:val="9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roofErr w:type="spellStart"/>
            <w:r w:rsidRPr="00026C84">
              <w:rPr>
                <w:rFonts w:ascii="Calibri" w:eastAsia="Times New Roman" w:hAnsi="Calibri"/>
                <w:color w:val="000000"/>
                <w:spacing w:val="0"/>
                <w:sz w:val="22"/>
                <w:szCs w:val="22"/>
                <w:lang w:eastAsia="fr-BE"/>
              </w:rPr>
              <w:t>outdoor</w:t>
            </w:r>
            <w:proofErr w:type="spellEnd"/>
            <w:r w:rsidRPr="00026C84">
              <w:rPr>
                <w:rFonts w:ascii="Calibri" w:eastAsia="Times New Roman" w:hAnsi="Calibri"/>
                <w:color w:val="000000"/>
                <w:spacing w:val="0"/>
                <w:sz w:val="22"/>
                <w:szCs w:val="22"/>
                <w:lang w:eastAsia="fr-BE"/>
              </w:rPr>
              <w:t xml:space="preserve"> air</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longueur de terrain pollué</w:t>
            </w:r>
            <w:r w:rsidR="00F8562A">
              <w:rPr>
                <w:rFonts w:ascii="Calibri" w:eastAsia="Times New Roman" w:hAnsi="Calibri"/>
                <w:color w:val="000000"/>
                <w:spacing w:val="0"/>
                <w:sz w:val="22"/>
                <w:szCs w:val="22"/>
                <w:lang w:eastAsia="fr-BE"/>
              </w:rPr>
              <w:t xml:space="preserve"> =</w:t>
            </w:r>
            <w:r w:rsidRPr="00026C84">
              <w:rPr>
                <w:rFonts w:ascii="Calibri" w:eastAsia="Times New Roman" w:hAnsi="Calibri"/>
                <w:color w:val="000000"/>
                <w:spacing w:val="0"/>
                <w:sz w:val="22"/>
                <w:szCs w:val="22"/>
                <w:lang w:eastAsia="fr-BE"/>
              </w:rPr>
              <w:t xml:space="preserve"> longueur du terrain</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réaliste</w:t>
            </w:r>
          </w:p>
        </w:tc>
      </w:tr>
      <w:tr w:rsidR="00026C84" w:rsidRPr="00026C84" w:rsidTr="00026C84">
        <w:trPr>
          <w:trHeight w:val="6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indoor air</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valeur par défaut de S-Risk</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w:t>
            </w:r>
          </w:p>
        </w:tc>
      </w:tr>
      <w:tr w:rsidR="00026C84" w:rsidRPr="00026C84" w:rsidTr="00026C84">
        <w:trPr>
          <w:trHeight w:val="6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Plants</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valeur par défaut de S-Risk</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w:t>
            </w:r>
          </w:p>
        </w:tc>
      </w:tr>
      <w:tr w:rsidR="00026C84" w:rsidRPr="00026C84" w:rsidTr="00026C84">
        <w:trPr>
          <w:trHeight w:val="6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roofErr w:type="spellStart"/>
            <w:r w:rsidRPr="00026C84">
              <w:rPr>
                <w:rFonts w:ascii="Calibri" w:eastAsia="Times New Roman" w:hAnsi="Calibri"/>
                <w:color w:val="000000"/>
                <w:spacing w:val="0"/>
                <w:sz w:val="22"/>
                <w:szCs w:val="22"/>
                <w:lang w:eastAsia="fr-BE"/>
              </w:rPr>
              <w:t>Animals</w:t>
            </w:r>
            <w:proofErr w:type="spellEnd"/>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valeur par défaut de S-Risk</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w:t>
            </w:r>
          </w:p>
        </w:tc>
      </w:tr>
      <w:tr w:rsidR="00026C84" w:rsidRPr="00026C84" w:rsidTr="00026C84">
        <w:trPr>
          <w:trHeight w:val="6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concentration polluant du remblai</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roofErr w:type="spellStart"/>
            <w:r w:rsidRPr="00026C84">
              <w:rPr>
                <w:rFonts w:ascii="Calibri" w:eastAsia="Times New Roman" w:hAnsi="Calibri"/>
                <w:color w:val="000000"/>
                <w:spacing w:val="0"/>
                <w:sz w:val="22"/>
                <w:szCs w:val="22"/>
                <w:lang w:eastAsia="fr-BE"/>
              </w:rPr>
              <w:t>C</w:t>
            </w:r>
            <w:r w:rsidRPr="00026C84">
              <w:rPr>
                <w:rFonts w:ascii="Calibri" w:eastAsia="Times New Roman" w:hAnsi="Calibri"/>
                <w:color w:val="000000"/>
                <w:spacing w:val="0"/>
                <w:sz w:val="22"/>
                <w:szCs w:val="22"/>
                <w:vertAlign w:val="subscript"/>
                <w:lang w:eastAsia="fr-BE"/>
              </w:rPr>
              <w:t>moyenne</w:t>
            </w:r>
            <w:proofErr w:type="spellEnd"/>
            <w:r w:rsidRPr="00026C84">
              <w:rPr>
                <w:rFonts w:ascii="Calibri" w:eastAsia="Times New Roman" w:hAnsi="Calibri"/>
                <w:color w:val="000000"/>
                <w:spacing w:val="0"/>
                <w:sz w:val="22"/>
                <w:szCs w:val="22"/>
                <w:vertAlign w:val="subscript"/>
                <w:lang w:eastAsia="fr-BE"/>
              </w:rPr>
              <w:t>+2σ</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w:t>
            </w:r>
          </w:p>
        </w:tc>
      </w:tr>
      <w:tr w:rsidR="00026C84" w:rsidRPr="00026C84" w:rsidTr="00026C84">
        <w:trPr>
          <w:trHeight w:val="6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concentration de la tache de pollution</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concentration maximale</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w:t>
            </w:r>
          </w:p>
        </w:tc>
      </w:tr>
      <w:tr w:rsidR="00026C84" w:rsidRPr="00026C84" w:rsidTr="00026C84">
        <w:trPr>
          <w:trHeight w:val="6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concentration eau souterraine</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valeur mesurées</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réaliste</w:t>
            </w:r>
          </w:p>
        </w:tc>
      </w:tr>
      <w:tr w:rsidR="00026C84" w:rsidRPr="00026C84" w:rsidTr="00026C84">
        <w:trPr>
          <w:trHeight w:val="6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val="restart"/>
            <w:tcBorders>
              <w:top w:val="nil"/>
              <w:left w:val="single" w:sz="4" w:space="0" w:color="auto"/>
              <w:bottom w:val="single" w:sz="4" w:space="0" w:color="000000"/>
              <w:right w:val="single" w:sz="4" w:space="0" w:color="auto"/>
            </w:tcBorders>
            <w:shd w:val="clear" w:color="auto" w:fill="auto"/>
            <w:vAlign w:val="center"/>
            <w:hideMark/>
          </w:tcPr>
          <w:p w:rsidR="00026C84" w:rsidRPr="00026C84" w:rsidRDefault="00026C84" w:rsidP="00026C84">
            <w:pPr>
              <w:spacing w:after="0"/>
              <w:jc w:val="center"/>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base d'évaluation</w:t>
            </w: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 </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générique : agricole</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 limité à l'ESR</w:t>
            </w:r>
          </w:p>
        </w:tc>
      </w:tr>
      <w:tr w:rsidR="00026C84" w:rsidRPr="00026C84" w:rsidTr="00026C84">
        <w:trPr>
          <w:trHeight w:val="6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000000"/>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 </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actuelle : industriel</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 limité à l'ESR</w:t>
            </w:r>
          </w:p>
        </w:tc>
      </w:tr>
      <w:tr w:rsidR="00026C84" w:rsidRPr="00026C84" w:rsidTr="00026C84">
        <w:trPr>
          <w:trHeight w:val="9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4" w:space="0" w:color="000000"/>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 </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projetée : résidentiel</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réaliste, prend en compte la situation future</w:t>
            </w:r>
          </w:p>
        </w:tc>
      </w:tr>
      <w:tr w:rsidR="00026C84" w:rsidRPr="00026C84" w:rsidTr="00026C84">
        <w:trPr>
          <w:trHeight w:val="900"/>
        </w:trPr>
        <w:tc>
          <w:tcPr>
            <w:tcW w:w="1037" w:type="pct"/>
            <w:vMerge/>
            <w:tcBorders>
              <w:top w:val="nil"/>
              <w:left w:val="single" w:sz="8" w:space="0" w:color="auto"/>
              <w:bottom w:val="single" w:sz="4" w:space="0" w:color="auto"/>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F8562A"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équation</w:t>
            </w:r>
            <w:r w:rsidR="00026C84" w:rsidRPr="00026C84">
              <w:rPr>
                <w:rFonts w:ascii="Calibri" w:eastAsia="Times New Roman" w:hAnsi="Calibri"/>
                <w:color w:val="000000"/>
                <w:spacing w:val="0"/>
                <w:sz w:val="22"/>
                <w:szCs w:val="22"/>
                <w:lang w:eastAsia="fr-BE"/>
              </w:rPr>
              <w:t xml:space="preserve"> de transfert</w:t>
            </w: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 </w:t>
            </w:r>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 xml:space="preserve">utilisation de l'outil </w:t>
            </w:r>
            <w:r w:rsidR="00F8562A" w:rsidRPr="00026C84">
              <w:rPr>
                <w:rFonts w:ascii="Calibri" w:eastAsia="Times New Roman" w:hAnsi="Calibri"/>
                <w:color w:val="000000"/>
                <w:spacing w:val="0"/>
                <w:sz w:val="22"/>
                <w:szCs w:val="22"/>
                <w:lang w:eastAsia="fr-BE"/>
              </w:rPr>
              <w:t>préconisé</w:t>
            </w:r>
            <w:r w:rsidRPr="00026C84">
              <w:rPr>
                <w:rFonts w:ascii="Calibri" w:eastAsia="Times New Roman" w:hAnsi="Calibri"/>
                <w:color w:val="000000"/>
                <w:spacing w:val="0"/>
                <w:sz w:val="22"/>
                <w:szCs w:val="22"/>
                <w:lang w:eastAsia="fr-BE"/>
              </w:rPr>
              <w:t xml:space="preserve"> par l'administration</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w:t>
            </w:r>
          </w:p>
        </w:tc>
      </w:tr>
      <w:tr w:rsidR="00026C84" w:rsidRPr="00026C84" w:rsidTr="00026C84">
        <w:trPr>
          <w:trHeight w:val="600"/>
        </w:trPr>
        <w:tc>
          <w:tcPr>
            <w:tcW w:w="1037" w:type="pct"/>
            <w:vMerge w:val="restart"/>
            <w:tcBorders>
              <w:top w:val="nil"/>
              <w:left w:val="single" w:sz="8" w:space="0" w:color="auto"/>
              <w:bottom w:val="single" w:sz="8" w:space="0" w:color="000000"/>
              <w:right w:val="single" w:sz="4" w:space="0" w:color="auto"/>
            </w:tcBorders>
            <w:shd w:val="clear" w:color="auto" w:fill="auto"/>
            <w:vAlign w:val="center"/>
            <w:hideMark/>
          </w:tcPr>
          <w:p w:rsidR="00026C84" w:rsidRPr="00026C84" w:rsidRDefault="00026C84" w:rsidP="00026C84">
            <w:pPr>
              <w:spacing w:after="0"/>
              <w:jc w:val="center"/>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lastRenderedPageBreak/>
              <w:t>caractérisation des risques</w:t>
            </w:r>
          </w:p>
        </w:tc>
        <w:tc>
          <w:tcPr>
            <w:tcW w:w="1037" w:type="pct"/>
            <w:vMerge w:val="restart"/>
            <w:tcBorders>
              <w:top w:val="nil"/>
              <w:left w:val="single" w:sz="4" w:space="0" w:color="auto"/>
              <w:bottom w:val="single" w:sz="8" w:space="0" w:color="000000"/>
              <w:right w:val="single" w:sz="4" w:space="0" w:color="auto"/>
            </w:tcBorders>
            <w:shd w:val="clear" w:color="auto" w:fill="auto"/>
            <w:vAlign w:val="center"/>
            <w:hideMark/>
          </w:tcPr>
          <w:p w:rsidR="00026C84" w:rsidRPr="00026C84" w:rsidRDefault="00026C84" w:rsidP="00026C84">
            <w:pPr>
              <w:spacing w:after="0"/>
              <w:jc w:val="center"/>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caractérisation des risques</w:t>
            </w: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roofErr w:type="spellStart"/>
            <w:r w:rsidRPr="00026C84">
              <w:rPr>
                <w:rFonts w:ascii="Calibri" w:eastAsia="Times New Roman" w:hAnsi="Calibri"/>
                <w:color w:val="000000"/>
                <w:spacing w:val="0"/>
                <w:sz w:val="22"/>
                <w:szCs w:val="22"/>
                <w:lang w:eastAsia="fr-BE"/>
              </w:rPr>
              <w:t>exposure</w:t>
            </w:r>
            <w:proofErr w:type="spellEnd"/>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valeur par défaut de S-Risk</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w:t>
            </w:r>
          </w:p>
        </w:tc>
      </w:tr>
      <w:tr w:rsidR="00026C84" w:rsidRPr="00026C84" w:rsidTr="00026C84">
        <w:trPr>
          <w:trHeight w:val="600"/>
        </w:trPr>
        <w:tc>
          <w:tcPr>
            <w:tcW w:w="1037" w:type="pct"/>
            <w:vMerge/>
            <w:tcBorders>
              <w:top w:val="nil"/>
              <w:left w:val="single" w:sz="8" w:space="0" w:color="auto"/>
              <w:bottom w:val="single" w:sz="8" w:space="0" w:color="000000"/>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8" w:space="0" w:color="000000"/>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roofErr w:type="spellStart"/>
            <w:r w:rsidRPr="00026C84">
              <w:rPr>
                <w:rFonts w:ascii="Calibri" w:eastAsia="Times New Roman" w:hAnsi="Calibri"/>
                <w:color w:val="000000"/>
                <w:spacing w:val="0"/>
                <w:sz w:val="22"/>
                <w:szCs w:val="22"/>
                <w:lang w:eastAsia="fr-BE"/>
              </w:rPr>
              <w:t>Risk</w:t>
            </w:r>
            <w:proofErr w:type="spellEnd"/>
          </w:p>
        </w:tc>
        <w:tc>
          <w:tcPr>
            <w:tcW w:w="1021" w:type="pct"/>
            <w:tcBorders>
              <w:top w:val="nil"/>
              <w:left w:val="nil"/>
              <w:bottom w:val="single" w:sz="4"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valeur par défaut de S-Risk</w:t>
            </w:r>
          </w:p>
        </w:tc>
        <w:tc>
          <w:tcPr>
            <w:tcW w:w="867" w:type="pct"/>
            <w:tcBorders>
              <w:top w:val="nil"/>
              <w:left w:val="nil"/>
              <w:bottom w:val="single" w:sz="4"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w:t>
            </w:r>
          </w:p>
        </w:tc>
      </w:tr>
      <w:tr w:rsidR="00026C84" w:rsidRPr="00026C84" w:rsidTr="00026C84">
        <w:trPr>
          <w:trHeight w:val="600"/>
        </w:trPr>
        <w:tc>
          <w:tcPr>
            <w:tcW w:w="1037" w:type="pct"/>
            <w:vMerge/>
            <w:tcBorders>
              <w:top w:val="nil"/>
              <w:left w:val="single" w:sz="8" w:space="0" w:color="auto"/>
              <w:bottom w:val="single" w:sz="8" w:space="0" w:color="000000"/>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8" w:space="0" w:color="000000"/>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nil"/>
              <w:left w:val="nil"/>
              <w:bottom w:val="nil"/>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Concentration limite</w:t>
            </w:r>
          </w:p>
        </w:tc>
        <w:tc>
          <w:tcPr>
            <w:tcW w:w="1021" w:type="pct"/>
            <w:tcBorders>
              <w:top w:val="nil"/>
              <w:left w:val="nil"/>
              <w:bottom w:val="nil"/>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valeur par défaut de S-Risk</w:t>
            </w:r>
          </w:p>
        </w:tc>
        <w:tc>
          <w:tcPr>
            <w:tcW w:w="867" w:type="pct"/>
            <w:tcBorders>
              <w:top w:val="nil"/>
              <w:left w:val="nil"/>
              <w:bottom w:val="nil"/>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approche sécuritaire</w:t>
            </w:r>
          </w:p>
        </w:tc>
      </w:tr>
      <w:tr w:rsidR="00026C84" w:rsidRPr="00026C84" w:rsidTr="00026C84">
        <w:trPr>
          <w:trHeight w:val="315"/>
        </w:trPr>
        <w:tc>
          <w:tcPr>
            <w:tcW w:w="1037" w:type="pct"/>
            <w:vMerge/>
            <w:tcBorders>
              <w:top w:val="nil"/>
              <w:left w:val="single" w:sz="8" w:space="0" w:color="auto"/>
              <w:bottom w:val="single" w:sz="8" w:space="0" w:color="000000"/>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vMerge/>
            <w:tcBorders>
              <w:top w:val="nil"/>
              <w:left w:val="single" w:sz="4" w:space="0" w:color="auto"/>
              <w:bottom w:val="single" w:sz="8" w:space="0" w:color="000000"/>
              <w:right w:val="single" w:sz="4" w:space="0" w:color="auto"/>
            </w:tcBorders>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p>
        </w:tc>
        <w:tc>
          <w:tcPr>
            <w:tcW w:w="1037" w:type="pct"/>
            <w:tcBorders>
              <w:top w:val="single" w:sz="4" w:space="0" w:color="auto"/>
              <w:left w:val="nil"/>
              <w:bottom w:val="single" w:sz="8"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color w:val="000000"/>
                <w:spacing w:val="0"/>
                <w:sz w:val="22"/>
                <w:szCs w:val="22"/>
                <w:lang w:eastAsia="fr-BE"/>
              </w:rPr>
            </w:pPr>
            <w:r w:rsidRPr="00026C84">
              <w:rPr>
                <w:rFonts w:ascii="Calibri" w:eastAsia="Times New Roman" w:hAnsi="Calibri"/>
                <w:color w:val="000000"/>
                <w:spacing w:val="0"/>
                <w:sz w:val="22"/>
                <w:szCs w:val="22"/>
                <w:lang w:eastAsia="fr-BE"/>
              </w:rPr>
              <w:t> </w:t>
            </w:r>
          </w:p>
        </w:tc>
        <w:tc>
          <w:tcPr>
            <w:tcW w:w="1021" w:type="pct"/>
            <w:tcBorders>
              <w:top w:val="single" w:sz="4" w:space="0" w:color="auto"/>
              <w:left w:val="nil"/>
              <w:bottom w:val="single" w:sz="8" w:space="0" w:color="auto"/>
              <w:right w:val="single" w:sz="4" w:space="0" w:color="auto"/>
            </w:tcBorders>
            <w:shd w:val="clear" w:color="auto" w:fill="auto"/>
            <w:vAlign w:val="center"/>
            <w:hideMark/>
          </w:tcPr>
          <w:p w:rsidR="00026C84" w:rsidRPr="00026C84" w:rsidRDefault="00026C84" w:rsidP="00026C84">
            <w:pPr>
              <w:spacing w:after="0"/>
              <w:jc w:val="left"/>
              <w:rPr>
                <w:rFonts w:ascii="Calibri" w:eastAsia="Times New Roman" w:hAnsi="Calibri"/>
                <w:b/>
                <w:bCs/>
                <w:color w:val="000000"/>
                <w:spacing w:val="0"/>
                <w:sz w:val="22"/>
                <w:szCs w:val="22"/>
                <w:lang w:eastAsia="fr-BE"/>
              </w:rPr>
            </w:pPr>
            <w:r w:rsidRPr="00026C84">
              <w:rPr>
                <w:rFonts w:ascii="Calibri" w:eastAsia="Times New Roman" w:hAnsi="Calibri"/>
                <w:b/>
                <w:bCs/>
                <w:color w:val="000000"/>
                <w:spacing w:val="0"/>
                <w:sz w:val="22"/>
                <w:szCs w:val="22"/>
                <w:lang w:eastAsia="fr-BE"/>
              </w:rPr>
              <w:t>incertitude cumulée</w:t>
            </w:r>
          </w:p>
        </w:tc>
        <w:tc>
          <w:tcPr>
            <w:tcW w:w="867" w:type="pct"/>
            <w:tcBorders>
              <w:top w:val="single" w:sz="4" w:space="0" w:color="auto"/>
              <w:left w:val="nil"/>
              <w:bottom w:val="single" w:sz="8" w:space="0" w:color="auto"/>
              <w:right w:val="single" w:sz="8" w:space="0" w:color="auto"/>
            </w:tcBorders>
            <w:shd w:val="clear" w:color="auto" w:fill="auto"/>
            <w:vAlign w:val="center"/>
            <w:hideMark/>
          </w:tcPr>
          <w:p w:rsidR="00026C84" w:rsidRPr="00026C84" w:rsidRDefault="00026C84" w:rsidP="00026C84">
            <w:pPr>
              <w:spacing w:after="0"/>
              <w:jc w:val="left"/>
              <w:rPr>
                <w:rFonts w:ascii="Calibri" w:eastAsia="Times New Roman" w:hAnsi="Calibri"/>
                <w:b/>
                <w:bCs/>
                <w:color w:val="000000"/>
                <w:spacing w:val="0"/>
                <w:sz w:val="22"/>
                <w:szCs w:val="22"/>
                <w:lang w:eastAsia="fr-BE"/>
              </w:rPr>
            </w:pPr>
            <w:r w:rsidRPr="00026C84">
              <w:rPr>
                <w:rFonts w:ascii="Calibri" w:eastAsia="Times New Roman" w:hAnsi="Calibri"/>
                <w:b/>
                <w:bCs/>
                <w:color w:val="000000"/>
                <w:spacing w:val="0"/>
                <w:sz w:val="22"/>
                <w:szCs w:val="22"/>
                <w:lang w:eastAsia="fr-BE"/>
              </w:rPr>
              <w:t>réaliste à sécuritaire</w:t>
            </w:r>
          </w:p>
        </w:tc>
      </w:tr>
    </w:tbl>
    <w:p w:rsidR="009C23EF" w:rsidRDefault="009C23EF" w:rsidP="00AF30CD">
      <w:pPr>
        <w:pStyle w:val="Corpsdetexte"/>
        <w:spacing w:after="60"/>
      </w:pPr>
    </w:p>
    <w:p w:rsidR="00310561" w:rsidRPr="0039115E" w:rsidRDefault="00310561" w:rsidP="00310561">
      <w:pPr>
        <w:pStyle w:val="Corpsdetexte"/>
        <w:spacing w:after="60"/>
        <w:ind w:left="426"/>
        <w:rPr>
          <w:i/>
          <w:iCs/>
        </w:rPr>
      </w:pPr>
      <w:r w:rsidRPr="0039115E">
        <w:rPr>
          <w:i/>
          <w:iCs/>
        </w:rPr>
        <w:t>Tableau 5c : analyse des incertitudes</w:t>
      </w:r>
    </w:p>
    <w:p w:rsidR="00310561" w:rsidRDefault="00310561" w:rsidP="00AF30CD">
      <w:pPr>
        <w:pStyle w:val="Corpsdetexte"/>
        <w:spacing w:after="60"/>
      </w:pPr>
    </w:p>
    <w:p w:rsidR="007415FE" w:rsidRDefault="001F1311" w:rsidP="00AF30CD">
      <w:pPr>
        <w:pStyle w:val="Corpsdetexte"/>
        <w:spacing w:after="60"/>
      </w:pPr>
      <w:r>
        <w:t xml:space="preserve">Interprétation : </w:t>
      </w:r>
    </w:p>
    <w:p w:rsidR="007B21A3" w:rsidRDefault="007B21A3" w:rsidP="00AF30CD">
      <w:pPr>
        <w:pStyle w:val="Corpsdetexte"/>
        <w:spacing w:after="60"/>
      </w:pPr>
    </w:p>
    <w:p w:rsidR="001F1311" w:rsidRPr="009130DC" w:rsidRDefault="00E308CF" w:rsidP="00AF30CD">
      <w:pPr>
        <w:pStyle w:val="Corpsdetexte"/>
        <w:spacing w:after="60"/>
        <w:rPr>
          <w:i/>
        </w:rPr>
      </w:pPr>
      <w:r w:rsidRPr="00E308CF">
        <w:rPr>
          <w:i/>
        </w:rPr>
        <w:t>Une menace grave est considérée lorsque, pour un ou plusieurs polluants, l’indice de risque calculé par le logiciel S-Risk est supérieur à 1 et/ou que l’excès de risque individuel calculé est supérieur à 1.10</w:t>
      </w:r>
      <w:r w:rsidRPr="00E308CF">
        <w:rPr>
          <w:i/>
          <w:vertAlign w:val="superscript"/>
        </w:rPr>
        <w:t>-5</w:t>
      </w:r>
      <w:r w:rsidRPr="00E308CF">
        <w:rPr>
          <w:i/>
        </w:rPr>
        <w:t>.</w:t>
      </w:r>
    </w:p>
    <w:p w:rsidR="00A41783" w:rsidRDefault="00A41783" w:rsidP="00AF30CD">
      <w:pPr>
        <w:pStyle w:val="Corpsdetexte"/>
        <w:spacing w:after="60"/>
      </w:pPr>
    </w:p>
    <w:p w:rsidR="00E308CF" w:rsidRDefault="00A41783" w:rsidP="00E308CF">
      <w:pPr>
        <w:pStyle w:val="Corpsdetexte"/>
        <w:numPr>
          <w:ilvl w:val="0"/>
          <w:numId w:val="52"/>
        </w:numPr>
        <w:spacing w:after="60"/>
        <w:rPr>
          <w:b/>
        </w:rPr>
      </w:pPr>
      <w:r>
        <w:t xml:space="preserve">Concernant les remblais : </w:t>
      </w:r>
    </w:p>
    <w:p w:rsidR="00AF30CD" w:rsidRPr="00AF30CD" w:rsidRDefault="00B0734A" w:rsidP="00AF30CD">
      <w:pPr>
        <w:pStyle w:val="Corpsdetexte"/>
        <w:spacing w:after="60"/>
      </w:pPr>
      <w:r w:rsidRPr="000E3C41">
        <w:rPr>
          <w:b/>
        </w:rPr>
        <w:t xml:space="preserve">Simulation 1 : </w:t>
      </w:r>
      <w:r w:rsidR="005F3D8E">
        <w:rPr>
          <w:b/>
        </w:rPr>
        <w:t xml:space="preserve">Menace grave : </w:t>
      </w:r>
      <w:r w:rsidR="00AF30CD" w:rsidRPr="00B0734A">
        <w:t xml:space="preserve">le plomb montre un indice de risque de </w:t>
      </w:r>
      <w:r w:rsidR="00AF30CD">
        <w:t xml:space="preserve">3.917. </w:t>
      </w:r>
      <w:r w:rsidR="00310561">
        <w:t>L’</w:t>
      </w:r>
      <w:r w:rsidR="00AF30CD">
        <w:t xml:space="preserve">indice de risque </w:t>
      </w:r>
      <w:r w:rsidR="00893AD9">
        <w:t xml:space="preserve">de 1 </w:t>
      </w:r>
      <w:r w:rsidR="00AF30CD">
        <w:t>est dépassé pour les trois tranches d’âges pour les effets à seuil pour la voie d’exposition orale, et plus précisément par l’ingestion de sol et de poussières et dans une plus faible mesure, par l’ingestion de légume</w:t>
      </w:r>
      <w:r w:rsidR="00081E4E">
        <w:t>s</w:t>
      </w:r>
      <w:r w:rsidR="00AF30CD">
        <w:t xml:space="preserve"> produit</w:t>
      </w:r>
      <w:r w:rsidR="00081E4E">
        <w:t>s</w:t>
      </w:r>
      <w:r w:rsidR="00AF30CD">
        <w:t xml:space="preserve"> sur le </w:t>
      </w:r>
      <w:r w:rsidR="00337E8F">
        <w:t>terrain</w:t>
      </w:r>
      <w:r w:rsidR="00AF30CD">
        <w:t xml:space="preserve">. Les autres </w:t>
      </w:r>
      <w:r w:rsidR="00AF30CD" w:rsidRPr="00AF30CD">
        <w:t>polluants présentent un indice de risque inférieur à 1 et un excès d</w:t>
      </w:r>
      <w:r w:rsidR="00AF30CD">
        <w:t>e risque individuel inférieur</w:t>
      </w:r>
      <w:r w:rsidR="00AF30CD" w:rsidRPr="00AF30CD">
        <w:t xml:space="preserve"> à 1.10</w:t>
      </w:r>
      <w:r w:rsidR="00F8562A">
        <w:rPr>
          <w:vertAlign w:val="superscript"/>
        </w:rPr>
        <w:noBreakHyphen/>
      </w:r>
      <w:r w:rsidR="00AF30CD" w:rsidRPr="00AF30CD">
        <w:rPr>
          <w:vertAlign w:val="superscript"/>
        </w:rPr>
        <w:t>5</w:t>
      </w:r>
      <w:r w:rsidR="00AF30CD">
        <w:t>.</w:t>
      </w:r>
    </w:p>
    <w:p w:rsidR="00B0734A" w:rsidRPr="00AF30CD" w:rsidRDefault="00B0734A" w:rsidP="00B0734A">
      <w:pPr>
        <w:pStyle w:val="Corpsdetexte"/>
        <w:spacing w:after="60"/>
      </w:pPr>
      <w:r w:rsidRPr="000E3C41">
        <w:rPr>
          <w:b/>
        </w:rPr>
        <w:t xml:space="preserve">Simulation 2 : </w:t>
      </w:r>
      <w:r w:rsidR="005F3D8E">
        <w:rPr>
          <w:b/>
        </w:rPr>
        <w:t xml:space="preserve">Menace grave : </w:t>
      </w:r>
      <w:r w:rsidR="00AF30CD" w:rsidRPr="00B0734A">
        <w:t xml:space="preserve">le plomb montre un indice de risque de </w:t>
      </w:r>
      <w:r w:rsidR="00AF30CD">
        <w:t xml:space="preserve">3.352. </w:t>
      </w:r>
      <w:r w:rsidR="00310561">
        <w:t>L’</w:t>
      </w:r>
      <w:r w:rsidR="00AF30CD">
        <w:t>indice de risque</w:t>
      </w:r>
      <w:r w:rsidR="00893AD9">
        <w:t xml:space="preserve"> de 1</w:t>
      </w:r>
      <w:r w:rsidR="00AF30CD">
        <w:t xml:space="preserve"> est dépassé pour les trois tranches d’âges pour les effets à seuil pour la voie d’exposition orale, et plus précisément exclusivement par l’ingestion de sol et de poussières.</w:t>
      </w:r>
      <w:r w:rsidR="00AF30CD" w:rsidRPr="00AF30CD">
        <w:t xml:space="preserve"> </w:t>
      </w:r>
      <w:r w:rsidR="00AF30CD">
        <w:t xml:space="preserve">Les autres </w:t>
      </w:r>
      <w:r w:rsidR="00AF30CD" w:rsidRPr="00AF30CD">
        <w:t>polluants présentent un indice de risque inférieur à 1 et un excès d</w:t>
      </w:r>
      <w:r w:rsidR="00AF30CD">
        <w:t>e</w:t>
      </w:r>
      <w:r w:rsidR="00AF30CD" w:rsidRPr="00AF30CD">
        <w:t xml:space="preserve"> risque individuel inférieur à 1.10</w:t>
      </w:r>
      <w:r w:rsidR="00AF30CD" w:rsidRPr="00AF30CD">
        <w:rPr>
          <w:vertAlign w:val="superscript"/>
        </w:rPr>
        <w:t>-5</w:t>
      </w:r>
      <w:r w:rsidR="00AF30CD">
        <w:t>.</w:t>
      </w:r>
    </w:p>
    <w:p w:rsidR="00B0734A" w:rsidRPr="00AF30CD" w:rsidRDefault="00B0734A" w:rsidP="00B0734A">
      <w:pPr>
        <w:pStyle w:val="Corpsdetexte"/>
        <w:spacing w:after="60"/>
      </w:pPr>
      <w:r w:rsidRPr="000E3C41">
        <w:rPr>
          <w:b/>
        </w:rPr>
        <w:t xml:space="preserve">Simulation 3 : </w:t>
      </w:r>
      <w:r w:rsidR="005F3D8E">
        <w:rPr>
          <w:b/>
        </w:rPr>
        <w:t xml:space="preserve">Menace grave : </w:t>
      </w:r>
      <w:r w:rsidRPr="00B0734A">
        <w:t>le plomb montre un indice de risque de 1.835</w:t>
      </w:r>
      <w:r>
        <w:t xml:space="preserve">. </w:t>
      </w:r>
      <w:r w:rsidR="00310561">
        <w:t>L’</w:t>
      </w:r>
      <w:r>
        <w:t xml:space="preserve">indice de risque </w:t>
      </w:r>
      <w:r w:rsidR="00893AD9">
        <w:t xml:space="preserve">de 1 </w:t>
      </w:r>
      <w:r>
        <w:t>est dépassé pour les trois tranches d’âges pour les effets à seuil pour la voie d’exposition orale, et plus précisément exclusivement par l’ingestion de sol et de poussières.</w:t>
      </w:r>
      <w:r w:rsidR="00AF30CD" w:rsidRPr="00AF30CD">
        <w:t xml:space="preserve"> </w:t>
      </w:r>
      <w:r w:rsidR="00AF30CD">
        <w:t xml:space="preserve">Les autres </w:t>
      </w:r>
      <w:r w:rsidR="00AF30CD" w:rsidRPr="00AF30CD">
        <w:t>polluants présentent un indice de risque inférieur à 1 et un excès d</w:t>
      </w:r>
      <w:r w:rsidR="00AF30CD">
        <w:t>e</w:t>
      </w:r>
      <w:r w:rsidR="00AF30CD" w:rsidRPr="00AF30CD">
        <w:t xml:space="preserve"> risque individuel inférieur à 1.10</w:t>
      </w:r>
      <w:r w:rsidR="00AF30CD" w:rsidRPr="00AF30CD">
        <w:rPr>
          <w:vertAlign w:val="superscript"/>
        </w:rPr>
        <w:t>-5</w:t>
      </w:r>
      <w:r w:rsidR="00AF30CD">
        <w:t>.</w:t>
      </w:r>
    </w:p>
    <w:p w:rsidR="00B0734A" w:rsidRDefault="00B0734A" w:rsidP="00B0734A">
      <w:pPr>
        <w:pStyle w:val="Corpsdetexte"/>
        <w:spacing w:after="60"/>
      </w:pPr>
      <w:r w:rsidRPr="000E3C41">
        <w:rPr>
          <w:b/>
        </w:rPr>
        <w:t xml:space="preserve">Simulation 4 : </w:t>
      </w:r>
      <w:r w:rsidR="005F3D8E">
        <w:rPr>
          <w:b/>
        </w:rPr>
        <w:t xml:space="preserve">Absence de menace grave : </w:t>
      </w:r>
      <w:r w:rsidR="00AF30CD" w:rsidRPr="00AF30CD">
        <w:t>L’ensemble des polluants présentent un indice de risque inférieur à 1 et un excès</w:t>
      </w:r>
      <w:r w:rsidR="00AF30CD">
        <w:t xml:space="preserve"> d</w:t>
      </w:r>
      <w:r w:rsidR="00FF0D9B">
        <w:t>e</w:t>
      </w:r>
      <w:r w:rsidR="00AF30CD">
        <w:t xml:space="preserve"> risque individuel inférieur</w:t>
      </w:r>
      <w:r w:rsidR="00AF30CD" w:rsidRPr="00AF30CD">
        <w:t xml:space="preserve"> à 1.10</w:t>
      </w:r>
      <w:r w:rsidR="00AF30CD" w:rsidRPr="00AF30CD">
        <w:rPr>
          <w:vertAlign w:val="superscript"/>
        </w:rPr>
        <w:t>-5</w:t>
      </w:r>
      <w:r w:rsidR="00AF30CD">
        <w:t>.</w:t>
      </w:r>
    </w:p>
    <w:p w:rsidR="005F3D8E" w:rsidRDefault="005F3D8E" w:rsidP="00B0734A">
      <w:pPr>
        <w:pStyle w:val="Corpsdetexte"/>
        <w:spacing w:after="60"/>
      </w:pPr>
    </w:p>
    <w:p w:rsidR="00E308CF" w:rsidRDefault="005F3D8E" w:rsidP="00E308CF">
      <w:pPr>
        <w:pStyle w:val="Corpsdetexte"/>
        <w:numPr>
          <w:ilvl w:val="0"/>
          <w:numId w:val="52"/>
        </w:numPr>
        <w:spacing w:after="60"/>
      </w:pPr>
      <w:r w:rsidRPr="00A41783">
        <w:t>Concernant la tache de pollution en hydrocarbures, les sim</w:t>
      </w:r>
      <w:r>
        <w:t>u</w:t>
      </w:r>
      <w:r w:rsidRPr="00A41783">
        <w:t>lations montrent l’absence de risque, et ce pour cha</w:t>
      </w:r>
      <w:r>
        <w:t>c</w:t>
      </w:r>
      <w:r w:rsidRPr="00A41783">
        <w:t>une des simulations</w:t>
      </w:r>
      <w:r w:rsidR="007B21A3">
        <w:t xml:space="preserve"> </w:t>
      </w:r>
    </w:p>
    <w:p w:rsidR="00AF30CD" w:rsidRDefault="00AF30CD" w:rsidP="00B0734A">
      <w:pPr>
        <w:pStyle w:val="Corpsdetexte"/>
        <w:spacing w:after="60"/>
      </w:pPr>
    </w:p>
    <w:p w:rsidR="00AF30CD" w:rsidRDefault="005F3D8E" w:rsidP="00B0734A">
      <w:pPr>
        <w:pStyle w:val="Corpsdetexte"/>
        <w:spacing w:after="60"/>
      </w:pPr>
      <w:r>
        <w:t>Concernant le remblai, seul</w:t>
      </w:r>
      <w:r w:rsidR="00893AD9">
        <w:t>e</w:t>
      </w:r>
      <w:r>
        <w:t xml:space="preserve"> la dernière simulation permet de s’affranchir du risque de menace grave au sens du décret sol</w:t>
      </w:r>
      <w:r w:rsidR="00893AD9">
        <w:t>s</w:t>
      </w:r>
      <w:r>
        <w:t xml:space="preserve">. Le paramètre problématique est le plomb, présent sur l’ensemble du terrain. </w:t>
      </w:r>
      <w:r w:rsidR="00AF30CD">
        <w:t xml:space="preserve">Etant donné la présence d’une dalle de béton, la voie d’exposition « ingestion de sol et de poussières » est actuellement coupée. </w:t>
      </w:r>
      <w:r w:rsidR="002044E0">
        <w:t>Vu l</w:t>
      </w:r>
      <w:r w:rsidR="00AF30CD">
        <w:t>es simulation</w:t>
      </w:r>
      <w:r w:rsidR="002044E0">
        <w:t>s</w:t>
      </w:r>
      <w:r w:rsidR="00AF30CD">
        <w:t xml:space="preserve"> 1 à 3, </w:t>
      </w:r>
      <w:r w:rsidR="00804C77">
        <w:t xml:space="preserve">le maintien de </w:t>
      </w:r>
      <w:r w:rsidR="00AF30CD">
        <w:t>cette dalle de béton</w:t>
      </w:r>
      <w:r>
        <w:t xml:space="preserve"> </w:t>
      </w:r>
      <w:r w:rsidR="00E308CF" w:rsidRPr="00E308CF">
        <w:rPr>
          <w:u w:val="single"/>
        </w:rPr>
        <w:t>sur l’ensemble du terrain</w:t>
      </w:r>
      <w:r w:rsidR="00AF30CD">
        <w:t xml:space="preserve"> est nécessaire comme mesure de sécurité.</w:t>
      </w:r>
    </w:p>
    <w:p w:rsidR="00804C77" w:rsidRDefault="002044E0" w:rsidP="007B21A3">
      <w:pPr>
        <w:pStyle w:val="Corpsdetexte"/>
        <w:spacing w:after="60"/>
      </w:pPr>
      <w:r>
        <w:t xml:space="preserve">Dans ces conditions, </w:t>
      </w:r>
      <w:r w:rsidR="00FF0D9B">
        <w:t>un usage de type « </w:t>
      </w:r>
      <w:r w:rsidR="002649C2">
        <w:t>résidentiel </w:t>
      </w:r>
      <w:r w:rsidR="00FF0D9B">
        <w:t>» est autorisé</w:t>
      </w:r>
      <w:r>
        <w:t xml:space="preserve">. </w:t>
      </w:r>
      <w:r w:rsidR="002649C2">
        <w:t xml:space="preserve">Cela implique également l’absence de jardin potager et de zone verte. </w:t>
      </w:r>
    </w:p>
    <w:p w:rsidR="007B21A3" w:rsidRDefault="00804C77" w:rsidP="007B21A3">
      <w:pPr>
        <w:pStyle w:val="Corpsdetexte"/>
        <w:spacing w:after="60"/>
      </w:pPr>
      <w:r>
        <w:t xml:space="preserve">NB : </w:t>
      </w:r>
      <w:r w:rsidR="002044E0">
        <w:t xml:space="preserve">Si la construction des habitats nécessite de détruire la dalle de béton, un PA </w:t>
      </w:r>
      <w:r>
        <w:t xml:space="preserve">est </w:t>
      </w:r>
      <w:r w:rsidR="007B21A3">
        <w:t>requis.</w:t>
      </w:r>
    </w:p>
    <w:p w:rsidR="009C2292" w:rsidRDefault="009C2292" w:rsidP="00A11C08">
      <w:pPr>
        <w:pStyle w:val="Corpsdetexte"/>
        <w:spacing w:after="60"/>
        <w:ind w:left="567"/>
      </w:pPr>
    </w:p>
    <w:p w:rsidR="00A11C08" w:rsidRDefault="00A11C08" w:rsidP="00A11C08">
      <w:pPr>
        <w:pStyle w:val="Corpsdetexte"/>
        <w:spacing w:after="60"/>
        <w:ind w:left="426"/>
      </w:pPr>
      <w:r w:rsidRPr="00276B5E">
        <w:lastRenderedPageBreak/>
        <w:t>4.1.3 Interprétation globale ER-SH</w:t>
      </w:r>
    </w:p>
    <w:p w:rsidR="00FD2CB4" w:rsidRDefault="00FD2CB4" w:rsidP="00FD2CB4">
      <w:pPr>
        <w:pStyle w:val="Corpsdetexte"/>
        <w:spacing w:after="60"/>
      </w:pPr>
    </w:p>
    <w:p w:rsidR="00804C77" w:rsidRDefault="00804C77" w:rsidP="00FD2CB4">
      <w:pPr>
        <w:pStyle w:val="Corpsdetexte"/>
        <w:spacing w:after="60"/>
      </w:pPr>
    </w:p>
    <w:p w:rsidR="003548A3" w:rsidRDefault="003548A3" w:rsidP="00FD2CB4">
      <w:pPr>
        <w:pStyle w:val="Corpsdetexte"/>
        <w:spacing w:after="60"/>
      </w:pPr>
      <w:r>
        <w:t>Conclusions opérationnelles</w:t>
      </w:r>
    </w:p>
    <w:p w:rsidR="003548A3" w:rsidRDefault="003548A3" w:rsidP="00FD2CB4">
      <w:pPr>
        <w:pStyle w:val="Corpsdetexte"/>
        <w:spacing w:after="60"/>
      </w:pPr>
    </w:p>
    <w:p w:rsidR="00E23776" w:rsidRDefault="00FD2CB4" w:rsidP="00FD2CB4">
      <w:pPr>
        <w:pStyle w:val="Corpsdetexte"/>
        <w:spacing w:after="60"/>
      </w:pPr>
      <w:r>
        <w:t xml:space="preserve">L’usage actuel </w:t>
      </w:r>
      <w:r w:rsidR="00FF0D9B">
        <w:t>ne présente pas de menace grave</w:t>
      </w:r>
      <w:r>
        <w:t xml:space="preserve">. </w:t>
      </w:r>
    </w:p>
    <w:p w:rsidR="00804C77" w:rsidRDefault="00E23776" w:rsidP="00FD2CB4">
      <w:pPr>
        <w:pStyle w:val="Corpsdetexte"/>
        <w:spacing w:after="60"/>
      </w:pPr>
      <w:r>
        <w:t>La base d’évaluation</w:t>
      </w:r>
      <w:r w:rsidR="00FD2CB4">
        <w:t xml:space="preserve"> projet</w:t>
      </w:r>
      <w:r>
        <w:t>ée (usage résidentiel avec dalle de béton maintenue)</w:t>
      </w:r>
      <w:r w:rsidR="00FD2CB4">
        <w:t xml:space="preserve">, </w:t>
      </w:r>
      <w:r>
        <w:t>conclut à l’absence de menace grave pour autant que</w:t>
      </w:r>
      <w:r w:rsidR="00FD2CB4">
        <w:t xml:space="preserve"> la dalle de béton actuellement présente</w:t>
      </w:r>
      <w:r>
        <w:t xml:space="preserve"> soit maintenue </w:t>
      </w:r>
      <w:r w:rsidR="00FD2CB4">
        <w:t xml:space="preserve"> afin de supprimer le risque d’ingestion de sol et de poussières </w:t>
      </w:r>
      <w:r w:rsidR="00714836">
        <w:t xml:space="preserve">de </w:t>
      </w:r>
      <w:r w:rsidR="00FD2CB4">
        <w:t>sol.</w:t>
      </w:r>
      <w:r w:rsidR="003548A3">
        <w:t xml:space="preserve"> La conclusion opérationnelle</w:t>
      </w:r>
      <w:r w:rsidR="00804C77">
        <w:t xml:space="preserve">, en ce qui concerne la santé humaine, se traduit par la non nécessité d’assainir mais implique </w:t>
      </w:r>
      <w:r w:rsidR="00807C9E">
        <w:t xml:space="preserve"> </w:t>
      </w:r>
      <w:r w:rsidR="00804C77">
        <w:t>l</w:t>
      </w:r>
      <w:r>
        <w:t xml:space="preserve">e maintien de la dalle </w:t>
      </w:r>
      <w:r w:rsidR="00804C77">
        <w:t>en tant que</w:t>
      </w:r>
      <w:r w:rsidR="007B21A3">
        <w:t xml:space="preserve"> mesure de sécurité (</w:t>
      </w:r>
      <w:r>
        <w:t>restriction d’utilisation</w:t>
      </w:r>
      <w:r w:rsidR="003548A3">
        <w:t>, ce qui peut être accepté ici dans la mesure où cette dalle est présente</w:t>
      </w:r>
      <w:r w:rsidR="00157AA2">
        <w:t>)</w:t>
      </w:r>
      <w:r w:rsidR="003548A3">
        <w:t xml:space="preserve">. Cela </w:t>
      </w:r>
      <w:r>
        <w:t xml:space="preserve"> i</w:t>
      </w:r>
      <w:r w:rsidR="00807C9E">
        <w:t>m</w:t>
      </w:r>
      <w:r>
        <w:t>plique également l’absen</w:t>
      </w:r>
      <w:r w:rsidR="00807C9E">
        <w:t>ce de jardin potager et de zone verte</w:t>
      </w:r>
      <w:r w:rsidR="003548A3">
        <w:t>, ce qui répond également au projet d’aménagement futur</w:t>
      </w:r>
      <w:r w:rsidR="00FD2CB4">
        <w:t xml:space="preserve">. </w:t>
      </w:r>
    </w:p>
    <w:p w:rsidR="00804C77" w:rsidRDefault="00804C77" w:rsidP="00FD2CB4">
      <w:pPr>
        <w:pStyle w:val="Corpsdetexte"/>
        <w:spacing w:after="60"/>
      </w:pPr>
    </w:p>
    <w:p w:rsidR="003548A3" w:rsidRDefault="003548A3" w:rsidP="00FD2CB4">
      <w:pPr>
        <w:pStyle w:val="Corpsdetexte"/>
        <w:spacing w:after="60"/>
      </w:pPr>
      <w:r>
        <w:t>Conclusions additionnelles</w:t>
      </w:r>
    </w:p>
    <w:p w:rsidR="00FD2CB4" w:rsidRDefault="00337E8F" w:rsidP="00FD2CB4">
      <w:pPr>
        <w:pStyle w:val="Corpsdetexte"/>
        <w:spacing w:after="60"/>
      </w:pPr>
      <w:r>
        <w:t>L</w:t>
      </w:r>
      <w:r w:rsidR="007B21A3">
        <w:t>a base d’évaluation générique (</w:t>
      </w:r>
      <w:r w:rsidR="00E23776">
        <w:t xml:space="preserve">usage agricole) </w:t>
      </w:r>
      <w:r w:rsidR="00FD2CB4">
        <w:t xml:space="preserve"> </w:t>
      </w:r>
      <w:r w:rsidR="00E23776">
        <w:t xml:space="preserve">conclut à la présence d’une hypothèse de menace grave au terme de l’ESR qui implique </w:t>
      </w:r>
      <w:r w:rsidR="00807C9E">
        <w:t>une restriction d</w:t>
      </w:r>
      <w:r w:rsidR="003548A3">
        <w:t>e type d</w:t>
      </w:r>
      <w:r w:rsidR="00310561">
        <w:t>’</w:t>
      </w:r>
      <w:r w:rsidR="00807C9E">
        <w:t xml:space="preserve">usage de telle sorte que le </w:t>
      </w:r>
      <w:r w:rsidR="00E23776">
        <w:t xml:space="preserve">terrain </w:t>
      </w:r>
      <w:r w:rsidR="00807C9E">
        <w:t xml:space="preserve">ne peut être utilisé </w:t>
      </w:r>
      <w:r w:rsidR="00FD2CB4">
        <w:t>comme surface agricole.</w:t>
      </w:r>
      <w:r w:rsidR="00807C9E">
        <w:t xml:space="preserve"> Cette restriction d’usage est pertinente dans la mesure où le terrain est utilisé depuis 30 ans </w:t>
      </w:r>
      <w:r w:rsidR="00807C9E">
        <w:rPr>
          <w:i/>
          <w:iCs/>
        </w:rPr>
        <w:t>en usage industriel et il existe un projet à court terme</w:t>
      </w:r>
      <w:r w:rsidR="007B21A3">
        <w:rPr>
          <w:i/>
          <w:iCs/>
        </w:rPr>
        <w:t xml:space="preserve"> </w:t>
      </w:r>
      <w:r w:rsidR="00807C9E">
        <w:rPr>
          <w:i/>
          <w:iCs/>
        </w:rPr>
        <w:t xml:space="preserve">pour y développer un usage </w:t>
      </w:r>
      <w:r w:rsidR="007B21A3">
        <w:rPr>
          <w:i/>
          <w:iCs/>
        </w:rPr>
        <w:t>résidentiel</w:t>
      </w:r>
      <w:r w:rsidR="00807C9E">
        <w:rPr>
          <w:i/>
          <w:iCs/>
        </w:rPr>
        <w:t xml:space="preserve">.   </w:t>
      </w:r>
    </w:p>
    <w:p w:rsidR="002044E0" w:rsidRDefault="002044E0" w:rsidP="00FD2CB4">
      <w:pPr>
        <w:pStyle w:val="Corpsdetexte"/>
        <w:spacing w:after="60"/>
      </w:pPr>
    </w:p>
    <w:p w:rsidR="009C2292" w:rsidRDefault="002044E0" w:rsidP="002044E0">
      <w:pPr>
        <w:pStyle w:val="Corpsdetexte"/>
        <w:spacing w:after="60"/>
      </w:pPr>
      <w:r>
        <w:t>Le tableau 6 présente les résultats de l’étude de risque, volet santé humaine, pour les trois bases d’évaluation.</w:t>
      </w:r>
      <w:r w:rsidR="005A0BE4">
        <w:t xml:space="preserve"> Le tableau 7 présente les conclusions opérationnelles et additionnelles</w:t>
      </w:r>
      <w:r w:rsidR="00157AA2">
        <w:t xml:space="preserve"> pour l’occupation du terrain retenue conforme au projet annoncé</w:t>
      </w:r>
      <w:r w:rsidR="005A0BE4">
        <w:t>.</w:t>
      </w:r>
    </w:p>
    <w:tbl>
      <w:tblPr>
        <w:tblpPr w:leftFromText="141" w:rightFromText="141" w:vertAnchor="text" w:horzAnchor="margin" w:tblpY="165"/>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3302"/>
        <w:gridCol w:w="3086"/>
      </w:tblGrid>
      <w:tr w:rsidR="00714836" w:rsidRPr="00E75948" w:rsidTr="00714836">
        <w:trPr>
          <w:trHeight w:val="413"/>
        </w:trPr>
        <w:tc>
          <w:tcPr>
            <w:tcW w:w="2759" w:type="dxa"/>
            <w:vAlign w:val="center"/>
          </w:tcPr>
          <w:p w:rsidR="00714836" w:rsidRPr="00C45BE5" w:rsidRDefault="00714836" w:rsidP="00714836">
            <w:pPr>
              <w:spacing w:after="0"/>
              <w:jc w:val="center"/>
              <w:rPr>
                <w:b/>
                <w:i/>
              </w:rPr>
            </w:pPr>
            <w:r w:rsidRPr="00941186">
              <w:rPr>
                <w:sz w:val="16"/>
                <w:szCs w:val="16"/>
              </w:rPr>
              <w:t>Zone de pollution</w:t>
            </w:r>
          </w:p>
        </w:tc>
        <w:tc>
          <w:tcPr>
            <w:tcW w:w="3302" w:type="dxa"/>
            <w:vAlign w:val="center"/>
          </w:tcPr>
          <w:p w:rsidR="00714836" w:rsidRPr="00E75948" w:rsidRDefault="00714836" w:rsidP="00714836">
            <w:pPr>
              <w:spacing w:after="0"/>
              <w:jc w:val="center"/>
            </w:pPr>
            <w:r w:rsidRPr="00941186">
              <w:rPr>
                <w:sz w:val="16"/>
                <w:szCs w:val="16"/>
              </w:rPr>
              <w:t>ESR</w:t>
            </w:r>
            <w:r w:rsidR="00A41783">
              <w:rPr>
                <w:sz w:val="16"/>
                <w:szCs w:val="16"/>
              </w:rPr>
              <w:t>²</w:t>
            </w:r>
          </w:p>
        </w:tc>
        <w:tc>
          <w:tcPr>
            <w:tcW w:w="3086" w:type="dxa"/>
            <w:vAlign w:val="center"/>
          </w:tcPr>
          <w:p w:rsidR="00714836" w:rsidRPr="00E75948" w:rsidRDefault="00714836" w:rsidP="00714836">
            <w:pPr>
              <w:spacing w:after="0"/>
              <w:jc w:val="center"/>
            </w:pPr>
            <w:r w:rsidRPr="00941186">
              <w:rPr>
                <w:sz w:val="16"/>
                <w:szCs w:val="16"/>
              </w:rPr>
              <w:t>EDR</w:t>
            </w:r>
          </w:p>
        </w:tc>
      </w:tr>
      <w:tr w:rsidR="00714836" w:rsidRPr="00E75948" w:rsidTr="00714836">
        <w:trPr>
          <w:trHeight w:val="413"/>
        </w:trPr>
        <w:tc>
          <w:tcPr>
            <w:tcW w:w="9147" w:type="dxa"/>
            <w:gridSpan w:val="3"/>
            <w:vAlign w:val="center"/>
          </w:tcPr>
          <w:p w:rsidR="00714836" w:rsidRPr="00C45BE5" w:rsidRDefault="00714836" w:rsidP="00714836">
            <w:pPr>
              <w:spacing w:after="0"/>
              <w:jc w:val="center"/>
              <w:rPr>
                <w:b/>
                <w:i/>
              </w:rPr>
            </w:pPr>
            <w:r w:rsidRPr="00C45BE5">
              <w:rPr>
                <w:b/>
                <w:i/>
              </w:rPr>
              <w:t>Base d’évaluation générique – Usage (</w:t>
            </w:r>
            <w:r>
              <w:rPr>
                <w:b/>
                <w:i/>
              </w:rPr>
              <w:t>I</w:t>
            </w:r>
            <w:r w:rsidRPr="00C45BE5">
              <w:rPr>
                <w:b/>
                <w:i/>
              </w:rPr>
              <w:t>I)</w:t>
            </w:r>
          </w:p>
        </w:tc>
      </w:tr>
      <w:tr w:rsidR="00714836" w:rsidRPr="00E75948" w:rsidTr="00714836">
        <w:trPr>
          <w:trHeight w:val="267"/>
        </w:trPr>
        <w:tc>
          <w:tcPr>
            <w:tcW w:w="2759" w:type="dxa"/>
            <w:vAlign w:val="center"/>
          </w:tcPr>
          <w:p w:rsidR="00714836" w:rsidRPr="002044E0" w:rsidRDefault="00714836" w:rsidP="00714836">
            <w:pPr>
              <w:spacing w:after="0"/>
              <w:jc w:val="center"/>
              <w:rPr>
                <w:sz w:val="16"/>
                <w:szCs w:val="16"/>
              </w:rPr>
            </w:pPr>
            <w:r w:rsidRPr="002044E0">
              <w:rPr>
                <w:sz w:val="16"/>
                <w:szCs w:val="16"/>
              </w:rPr>
              <w:t>Remblai</w:t>
            </w:r>
          </w:p>
        </w:tc>
        <w:tc>
          <w:tcPr>
            <w:tcW w:w="3302" w:type="dxa"/>
            <w:vAlign w:val="center"/>
          </w:tcPr>
          <w:p w:rsidR="00714836" w:rsidRPr="002044E0" w:rsidRDefault="00714836" w:rsidP="00714836">
            <w:pPr>
              <w:spacing w:after="0"/>
              <w:jc w:val="center"/>
              <w:rPr>
                <w:sz w:val="16"/>
                <w:szCs w:val="16"/>
              </w:rPr>
            </w:pPr>
            <w:r>
              <w:rPr>
                <w:sz w:val="16"/>
                <w:szCs w:val="16"/>
              </w:rPr>
              <w:t>HMG</w:t>
            </w:r>
          </w:p>
        </w:tc>
        <w:tc>
          <w:tcPr>
            <w:tcW w:w="3086" w:type="dxa"/>
            <w:vAlign w:val="center"/>
          </w:tcPr>
          <w:p w:rsidR="00714836" w:rsidRPr="002044E0" w:rsidRDefault="00714836" w:rsidP="00714836">
            <w:pPr>
              <w:spacing w:after="0"/>
              <w:jc w:val="center"/>
              <w:rPr>
                <w:sz w:val="16"/>
                <w:szCs w:val="16"/>
              </w:rPr>
            </w:pPr>
            <w:r>
              <w:rPr>
                <w:sz w:val="16"/>
                <w:szCs w:val="16"/>
              </w:rPr>
              <w:t>SO</w:t>
            </w:r>
          </w:p>
        </w:tc>
      </w:tr>
      <w:tr w:rsidR="00714836" w:rsidRPr="00E75948" w:rsidTr="00714836">
        <w:trPr>
          <w:trHeight w:val="267"/>
        </w:trPr>
        <w:tc>
          <w:tcPr>
            <w:tcW w:w="2759" w:type="dxa"/>
            <w:vAlign w:val="center"/>
          </w:tcPr>
          <w:p w:rsidR="00714836" w:rsidRPr="002044E0" w:rsidRDefault="00714836" w:rsidP="00714836">
            <w:pPr>
              <w:spacing w:after="0"/>
              <w:jc w:val="center"/>
              <w:rPr>
                <w:sz w:val="16"/>
                <w:szCs w:val="16"/>
              </w:rPr>
            </w:pPr>
            <w:r w:rsidRPr="002044E0">
              <w:rPr>
                <w:sz w:val="16"/>
                <w:szCs w:val="16"/>
              </w:rPr>
              <w:t>Tache en hydrocarbures</w:t>
            </w:r>
          </w:p>
        </w:tc>
        <w:tc>
          <w:tcPr>
            <w:tcW w:w="3302" w:type="dxa"/>
            <w:vAlign w:val="center"/>
          </w:tcPr>
          <w:p w:rsidR="00714836" w:rsidRPr="002044E0" w:rsidRDefault="00714836" w:rsidP="00714836">
            <w:pPr>
              <w:spacing w:after="0"/>
              <w:jc w:val="center"/>
              <w:rPr>
                <w:sz w:val="16"/>
                <w:szCs w:val="16"/>
              </w:rPr>
            </w:pPr>
            <w:r w:rsidRPr="002044E0">
              <w:rPr>
                <w:sz w:val="16"/>
                <w:szCs w:val="16"/>
              </w:rPr>
              <w:t>HMG</w:t>
            </w:r>
          </w:p>
        </w:tc>
        <w:tc>
          <w:tcPr>
            <w:tcW w:w="3086" w:type="dxa"/>
            <w:vAlign w:val="center"/>
          </w:tcPr>
          <w:p w:rsidR="00714836" w:rsidRPr="002044E0" w:rsidRDefault="00714836" w:rsidP="00714836">
            <w:pPr>
              <w:spacing w:after="0"/>
              <w:jc w:val="center"/>
              <w:rPr>
                <w:sz w:val="16"/>
                <w:szCs w:val="16"/>
              </w:rPr>
            </w:pPr>
            <w:r w:rsidRPr="002044E0">
              <w:rPr>
                <w:sz w:val="16"/>
                <w:szCs w:val="16"/>
              </w:rPr>
              <w:t>SO</w:t>
            </w:r>
          </w:p>
        </w:tc>
      </w:tr>
      <w:tr w:rsidR="00714836" w:rsidRPr="00E75948" w:rsidTr="00714836">
        <w:trPr>
          <w:trHeight w:val="423"/>
        </w:trPr>
        <w:tc>
          <w:tcPr>
            <w:tcW w:w="9147" w:type="dxa"/>
            <w:gridSpan w:val="3"/>
            <w:vAlign w:val="center"/>
          </w:tcPr>
          <w:p w:rsidR="00714836" w:rsidRPr="002044E0" w:rsidRDefault="00714836" w:rsidP="00714836">
            <w:pPr>
              <w:spacing w:after="0"/>
              <w:jc w:val="center"/>
            </w:pPr>
            <w:r w:rsidRPr="00C45BE5">
              <w:rPr>
                <w:b/>
                <w:i/>
              </w:rPr>
              <w:t>Base d’évaluation actuelle – Usage (V)</w:t>
            </w:r>
          </w:p>
        </w:tc>
      </w:tr>
      <w:tr w:rsidR="00714836" w:rsidRPr="00E75948" w:rsidTr="00714836">
        <w:trPr>
          <w:trHeight w:val="271"/>
        </w:trPr>
        <w:tc>
          <w:tcPr>
            <w:tcW w:w="2759" w:type="dxa"/>
            <w:vAlign w:val="center"/>
          </w:tcPr>
          <w:p w:rsidR="00714836" w:rsidRPr="002044E0" w:rsidRDefault="00714836" w:rsidP="00714836">
            <w:pPr>
              <w:spacing w:after="0"/>
              <w:jc w:val="center"/>
              <w:rPr>
                <w:sz w:val="16"/>
                <w:szCs w:val="16"/>
              </w:rPr>
            </w:pPr>
            <w:r w:rsidRPr="002044E0">
              <w:rPr>
                <w:sz w:val="16"/>
                <w:szCs w:val="16"/>
              </w:rPr>
              <w:t>Remblai</w:t>
            </w:r>
          </w:p>
        </w:tc>
        <w:tc>
          <w:tcPr>
            <w:tcW w:w="3302" w:type="dxa"/>
            <w:vAlign w:val="center"/>
          </w:tcPr>
          <w:p w:rsidR="00714836" w:rsidRPr="002044E0" w:rsidRDefault="00714836" w:rsidP="00714836">
            <w:pPr>
              <w:spacing w:after="0"/>
              <w:jc w:val="center"/>
              <w:rPr>
                <w:sz w:val="16"/>
                <w:szCs w:val="16"/>
              </w:rPr>
            </w:pPr>
            <w:r>
              <w:rPr>
                <w:sz w:val="16"/>
                <w:szCs w:val="16"/>
              </w:rPr>
              <w:t>AMG</w:t>
            </w:r>
          </w:p>
        </w:tc>
        <w:tc>
          <w:tcPr>
            <w:tcW w:w="3086" w:type="dxa"/>
            <w:vAlign w:val="center"/>
          </w:tcPr>
          <w:p w:rsidR="00714836" w:rsidRPr="002044E0" w:rsidRDefault="00714836" w:rsidP="00714836">
            <w:pPr>
              <w:spacing w:after="0"/>
              <w:jc w:val="center"/>
              <w:rPr>
                <w:sz w:val="16"/>
                <w:szCs w:val="16"/>
              </w:rPr>
            </w:pPr>
            <w:r>
              <w:rPr>
                <w:sz w:val="16"/>
                <w:szCs w:val="16"/>
              </w:rPr>
              <w:t>SO</w:t>
            </w:r>
          </w:p>
        </w:tc>
      </w:tr>
      <w:tr w:rsidR="00714836" w:rsidRPr="00E75948" w:rsidTr="00714836">
        <w:trPr>
          <w:trHeight w:val="271"/>
        </w:trPr>
        <w:tc>
          <w:tcPr>
            <w:tcW w:w="2759" w:type="dxa"/>
            <w:vAlign w:val="center"/>
          </w:tcPr>
          <w:p w:rsidR="00714836" w:rsidRPr="002044E0" w:rsidRDefault="00714836" w:rsidP="00714836">
            <w:pPr>
              <w:spacing w:after="0"/>
              <w:jc w:val="center"/>
              <w:rPr>
                <w:sz w:val="16"/>
                <w:szCs w:val="16"/>
              </w:rPr>
            </w:pPr>
            <w:r w:rsidRPr="002044E0">
              <w:rPr>
                <w:sz w:val="16"/>
                <w:szCs w:val="16"/>
              </w:rPr>
              <w:t>Tache en hydrocarbures</w:t>
            </w:r>
          </w:p>
        </w:tc>
        <w:tc>
          <w:tcPr>
            <w:tcW w:w="3302" w:type="dxa"/>
            <w:vAlign w:val="center"/>
          </w:tcPr>
          <w:p w:rsidR="00714836" w:rsidRPr="002044E0" w:rsidRDefault="00714836" w:rsidP="00714836">
            <w:pPr>
              <w:spacing w:after="0"/>
              <w:jc w:val="center"/>
              <w:rPr>
                <w:sz w:val="16"/>
                <w:szCs w:val="16"/>
              </w:rPr>
            </w:pPr>
            <w:r>
              <w:rPr>
                <w:sz w:val="16"/>
                <w:szCs w:val="16"/>
              </w:rPr>
              <w:t>AMG</w:t>
            </w:r>
          </w:p>
        </w:tc>
        <w:tc>
          <w:tcPr>
            <w:tcW w:w="3086" w:type="dxa"/>
            <w:vAlign w:val="center"/>
          </w:tcPr>
          <w:p w:rsidR="00714836" w:rsidRPr="002044E0" w:rsidRDefault="00714836" w:rsidP="00714836">
            <w:pPr>
              <w:spacing w:after="0"/>
              <w:jc w:val="center"/>
              <w:rPr>
                <w:sz w:val="16"/>
                <w:szCs w:val="16"/>
              </w:rPr>
            </w:pPr>
            <w:r>
              <w:rPr>
                <w:sz w:val="16"/>
                <w:szCs w:val="16"/>
              </w:rPr>
              <w:t>SO</w:t>
            </w:r>
          </w:p>
        </w:tc>
      </w:tr>
      <w:tr w:rsidR="00714836" w:rsidRPr="00E75948" w:rsidTr="00714836">
        <w:trPr>
          <w:trHeight w:val="422"/>
        </w:trPr>
        <w:tc>
          <w:tcPr>
            <w:tcW w:w="9147" w:type="dxa"/>
            <w:gridSpan w:val="3"/>
            <w:vAlign w:val="center"/>
          </w:tcPr>
          <w:p w:rsidR="00714836" w:rsidRPr="002044E0" w:rsidRDefault="00714836" w:rsidP="00714836">
            <w:pPr>
              <w:spacing w:after="0"/>
              <w:jc w:val="center"/>
              <w:rPr>
                <w:sz w:val="16"/>
                <w:szCs w:val="16"/>
              </w:rPr>
            </w:pPr>
            <w:r w:rsidRPr="00C45BE5">
              <w:rPr>
                <w:b/>
                <w:i/>
              </w:rPr>
              <w:t>Base d’évaluation projet – Usage (I</w:t>
            </w:r>
            <w:r>
              <w:rPr>
                <w:b/>
                <w:i/>
              </w:rPr>
              <w:t>II</w:t>
            </w:r>
            <w:r w:rsidRPr="00C45BE5">
              <w:rPr>
                <w:b/>
                <w:i/>
              </w:rPr>
              <w:t>)</w:t>
            </w:r>
          </w:p>
        </w:tc>
      </w:tr>
      <w:tr w:rsidR="00714836" w:rsidRPr="00E75948" w:rsidTr="00714836">
        <w:trPr>
          <w:trHeight w:val="271"/>
        </w:trPr>
        <w:tc>
          <w:tcPr>
            <w:tcW w:w="2759" w:type="dxa"/>
            <w:vAlign w:val="center"/>
          </w:tcPr>
          <w:p w:rsidR="00714836" w:rsidRPr="002044E0" w:rsidRDefault="00714836" w:rsidP="00714836">
            <w:pPr>
              <w:spacing w:after="0"/>
              <w:jc w:val="center"/>
              <w:rPr>
                <w:sz w:val="16"/>
                <w:szCs w:val="16"/>
              </w:rPr>
            </w:pPr>
            <w:r w:rsidRPr="002044E0">
              <w:rPr>
                <w:sz w:val="16"/>
                <w:szCs w:val="16"/>
              </w:rPr>
              <w:t>Remblai</w:t>
            </w:r>
          </w:p>
        </w:tc>
        <w:tc>
          <w:tcPr>
            <w:tcW w:w="3302" w:type="dxa"/>
            <w:vAlign w:val="center"/>
          </w:tcPr>
          <w:p w:rsidR="00714836" w:rsidRPr="002044E0" w:rsidRDefault="00714836" w:rsidP="00714836">
            <w:pPr>
              <w:spacing w:after="0"/>
              <w:jc w:val="center"/>
              <w:rPr>
                <w:sz w:val="16"/>
                <w:szCs w:val="16"/>
              </w:rPr>
            </w:pPr>
            <w:r>
              <w:rPr>
                <w:sz w:val="16"/>
                <w:szCs w:val="16"/>
              </w:rPr>
              <w:t>HMG</w:t>
            </w:r>
          </w:p>
        </w:tc>
        <w:tc>
          <w:tcPr>
            <w:tcW w:w="3086" w:type="dxa"/>
            <w:vAlign w:val="center"/>
          </w:tcPr>
          <w:p w:rsidR="00714836" w:rsidRPr="002044E0" w:rsidRDefault="00714836" w:rsidP="00C1598E">
            <w:pPr>
              <w:spacing w:after="0"/>
              <w:jc w:val="center"/>
              <w:rPr>
                <w:sz w:val="16"/>
                <w:szCs w:val="16"/>
              </w:rPr>
            </w:pPr>
            <w:r>
              <w:rPr>
                <w:sz w:val="16"/>
                <w:szCs w:val="16"/>
              </w:rPr>
              <w:t>AMG</w:t>
            </w:r>
          </w:p>
        </w:tc>
      </w:tr>
      <w:tr w:rsidR="00714836" w:rsidRPr="00E75948" w:rsidTr="00714836">
        <w:trPr>
          <w:trHeight w:val="271"/>
        </w:trPr>
        <w:tc>
          <w:tcPr>
            <w:tcW w:w="2759" w:type="dxa"/>
            <w:vAlign w:val="center"/>
          </w:tcPr>
          <w:p w:rsidR="00714836" w:rsidRPr="002044E0" w:rsidRDefault="00714836" w:rsidP="00714836">
            <w:pPr>
              <w:spacing w:after="0"/>
              <w:jc w:val="center"/>
              <w:rPr>
                <w:sz w:val="16"/>
                <w:szCs w:val="16"/>
              </w:rPr>
            </w:pPr>
            <w:r w:rsidRPr="002044E0">
              <w:rPr>
                <w:sz w:val="16"/>
                <w:szCs w:val="16"/>
              </w:rPr>
              <w:t>Tache en hydrocarbures</w:t>
            </w:r>
          </w:p>
        </w:tc>
        <w:tc>
          <w:tcPr>
            <w:tcW w:w="3302" w:type="dxa"/>
            <w:vAlign w:val="center"/>
          </w:tcPr>
          <w:p w:rsidR="00714836" w:rsidRPr="002044E0" w:rsidRDefault="00714836" w:rsidP="00714836">
            <w:pPr>
              <w:spacing w:after="0"/>
              <w:jc w:val="center"/>
              <w:rPr>
                <w:sz w:val="16"/>
                <w:szCs w:val="16"/>
              </w:rPr>
            </w:pPr>
            <w:r>
              <w:rPr>
                <w:sz w:val="16"/>
                <w:szCs w:val="16"/>
              </w:rPr>
              <w:t>HMG</w:t>
            </w:r>
          </w:p>
        </w:tc>
        <w:tc>
          <w:tcPr>
            <w:tcW w:w="3086" w:type="dxa"/>
            <w:vAlign w:val="center"/>
          </w:tcPr>
          <w:p w:rsidR="00714836" w:rsidRPr="002044E0" w:rsidRDefault="00714836" w:rsidP="00714836">
            <w:pPr>
              <w:spacing w:after="0"/>
              <w:jc w:val="center"/>
              <w:rPr>
                <w:sz w:val="16"/>
                <w:szCs w:val="16"/>
              </w:rPr>
            </w:pPr>
            <w:r>
              <w:rPr>
                <w:sz w:val="16"/>
                <w:szCs w:val="16"/>
              </w:rPr>
              <w:t>AMG</w:t>
            </w:r>
          </w:p>
        </w:tc>
      </w:tr>
    </w:tbl>
    <w:p w:rsidR="00D31536" w:rsidRDefault="00D31536" w:rsidP="00A11C08">
      <w:pPr>
        <w:pStyle w:val="Corpsdetexte"/>
        <w:spacing w:after="60"/>
        <w:ind w:left="426"/>
        <w:rPr>
          <w:i/>
          <w:iCs/>
        </w:rPr>
      </w:pPr>
    </w:p>
    <w:p w:rsidR="00D31536" w:rsidRPr="00D31536" w:rsidRDefault="00D31536" w:rsidP="00D31536">
      <w:pPr>
        <w:spacing w:after="0"/>
        <w:rPr>
          <w:sz w:val="14"/>
          <w:szCs w:val="14"/>
        </w:rPr>
      </w:pPr>
      <w:r w:rsidRPr="00D31536">
        <w:rPr>
          <w:sz w:val="14"/>
          <w:szCs w:val="14"/>
        </w:rPr>
        <w:t>AMG : absence de menace grave - HMG : hypothèse de menace grave - MG : menace grave - SO : sans objet</w:t>
      </w:r>
    </w:p>
    <w:p w:rsidR="00D31536" w:rsidRDefault="00D31536" w:rsidP="00A11C08">
      <w:pPr>
        <w:pStyle w:val="Corpsdetexte"/>
        <w:spacing w:after="60"/>
        <w:ind w:left="426"/>
        <w:rPr>
          <w:i/>
          <w:iCs/>
        </w:rPr>
      </w:pPr>
    </w:p>
    <w:p w:rsidR="004E1CE9" w:rsidRDefault="004E1CE9" w:rsidP="00A11C08">
      <w:pPr>
        <w:pStyle w:val="Corpsdetexte"/>
        <w:spacing w:after="60"/>
        <w:ind w:left="426"/>
        <w:rPr>
          <w:i/>
          <w:iCs/>
        </w:rPr>
      </w:pPr>
      <w:r>
        <w:rPr>
          <w:i/>
          <w:iCs/>
        </w:rPr>
        <w:t>Tableau 6 : Interprétation de l’étude de risques pour le volet santé humaine en termes de menace grave</w:t>
      </w:r>
    </w:p>
    <w:p w:rsidR="009C2292" w:rsidRDefault="009C2292" w:rsidP="00A11C08">
      <w:pPr>
        <w:pStyle w:val="Corpsdetexte"/>
        <w:spacing w:after="60"/>
        <w:ind w:left="426"/>
        <w:rPr>
          <w:i/>
          <w:iCs/>
        </w:rPr>
      </w:pPr>
    </w:p>
    <w:tbl>
      <w:tblPr>
        <w:tblpPr w:leftFromText="141" w:rightFromText="141"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3194"/>
        <w:gridCol w:w="3194"/>
      </w:tblGrid>
      <w:tr w:rsidR="009C2292" w:rsidRPr="00E75948" w:rsidTr="009C2292">
        <w:trPr>
          <w:trHeight w:val="410"/>
        </w:trPr>
        <w:tc>
          <w:tcPr>
            <w:tcW w:w="2759" w:type="dxa"/>
            <w:tcBorders>
              <w:right w:val="single" w:sz="4" w:space="0" w:color="auto"/>
            </w:tcBorders>
            <w:vAlign w:val="center"/>
          </w:tcPr>
          <w:p w:rsidR="009C2292" w:rsidRPr="0021626B" w:rsidRDefault="009C2292" w:rsidP="009C2292">
            <w:pPr>
              <w:spacing w:after="0"/>
              <w:jc w:val="center"/>
              <w:rPr>
                <w:i/>
              </w:rPr>
            </w:pPr>
            <w:r w:rsidRPr="0021626B">
              <w:rPr>
                <w:i/>
              </w:rPr>
              <w:t>Zone de pollution</w:t>
            </w:r>
          </w:p>
        </w:tc>
        <w:tc>
          <w:tcPr>
            <w:tcW w:w="3194" w:type="dxa"/>
            <w:tcBorders>
              <w:top w:val="single" w:sz="4" w:space="0" w:color="auto"/>
              <w:left w:val="single" w:sz="4" w:space="0" w:color="auto"/>
              <w:bottom w:val="nil"/>
              <w:right w:val="single" w:sz="4" w:space="0" w:color="auto"/>
            </w:tcBorders>
            <w:vAlign w:val="center"/>
          </w:tcPr>
          <w:p w:rsidR="009C2292" w:rsidRPr="0021626B" w:rsidRDefault="009C2292" w:rsidP="009C2292">
            <w:pPr>
              <w:spacing w:after="0"/>
              <w:jc w:val="center"/>
              <w:rPr>
                <w:i/>
              </w:rPr>
            </w:pPr>
            <w:r w:rsidRPr="0021626B">
              <w:rPr>
                <w:i/>
              </w:rPr>
              <w:t>conclusion opérationnelle</w:t>
            </w:r>
          </w:p>
        </w:tc>
        <w:tc>
          <w:tcPr>
            <w:tcW w:w="3194" w:type="dxa"/>
            <w:tcBorders>
              <w:top w:val="single" w:sz="4" w:space="0" w:color="auto"/>
              <w:left w:val="single" w:sz="4" w:space="0" w:color="auto"/>
              <w:bottom w:val="nil"/>
              <w:right w:val="single" w:sz="4" w:space="0" w:color="auto"/>
            </w:tcBorders>
            <w:vAlign w:val="center"/>
          </w:tcPr>
          <w:p w:rsidR="009C2292" w:rsidRPr="0021626B" w:rsidRDefault="009C2292" w:rsidP="009C2292">
            <w:pPr>
              <w:spacing w:after="0"/>
              <w:jc w:val="center"/>
              <w:rPr>
                <w:i/>
              </w:rPr>
            </w:pPr>
            <w:r w:rsidRPr="0021626B">
              <w:rPr>
                <w:i/>
              </w:rPr>
              <w:t>conclusion additionnelle</w:t>
            </w:r>
          </w:p>
        </w:tc>
      </w:tr>
      <w:tr w:rsidR="002044E0" w:rsidRPr="00E75948" w:rsidTr="009C2292">
        <w:trPr>
          <w:trHeight w:val="424"/>
        </w:trPr>
        <w:tc>
          <w:tcPr>
            <w:tcW w:w="2759" w:type="dxa"/>
            <w:vAlign w:val="center"/>
          </w:tcPr>
          <w:p w:rsidR="002044E0" w:rsidRPr="002044E0" w:rsidRDefault="002044E0" w:rsidP="002044E0">
            <w:pPr>
              <w:spacing w:after="0"/>
              <w:jc w:val="center"/>
              <w:rPr>
                <w:sz w:val="16"/>
                <w:szCs w:val="16"/>
              </w:rPr>
            </w:pPr>
            <w:r w:rsidRPr="002044E0">
              <w:rPr>
                <w:sz w:val="16"/>
                <w:szCs w:val="16"/>
              </w:rPr>
              <w:t>Remblai</w:t>
            </w:r>
          </w:p>
        </w:tc>
        <w:tc>
          <w:tcPr>
            <w:tcW w:w="3194" w:type="dxa"/>
            <w:tcBorders>
              <w:top w:val="single" w:sz="4" w:space="0" w:color="auto"/>
            </w:tcBorders>
            <w:vAlign w:val="center"/>
          </w:tcPr>
          <w:p w:rsidR="002044E0" w:rsidRPr="005A0BE4" w:rsidRDefault="002044E0" w:rsidP="00157AA2">
            <w:pPr>
              <w:spacing w:after="0"/>
              <w:jc w:val="center"/>
              <w:rPr>
                <w:sz w:val="16"/>
                <w:szCs w:val="16"/>
              </w:rPr>
            </w:pPr>
            <w:r w:rsidRPr="005A0BE4">
              <w:rPr>
                <w:sz w:val="16"/>
                <w:szCs w:val="16"/>
              </w:rPr>
              <w:t>assainissement non</w:t>
            </w:r>
            <w:r w:rsidR="001B0AD5">
              <w:rPr>
                <w:sz w:val="16"/>
                <w:szCs w:val="16"/>
              </w:rPr>
              <w:t xml:space="preserve"> requis</w:t>
            </w:r>
            <w:r w:rsidR="003548A3" w:rsidRPr="005A0BE4">
              <w:rPr>
                <w:sz w:val="16"/>
                <w:szCs w:val="16"/>
              </w:rPr>
              <w:t xml:space="preserve"> </w:t>
            </w:r>
            <w:r w:rsidR="003548A3">
              <w:rPr>
                <w:sz w:val="16"/>
                <w:szCs w:val="16"/>
              </w:rPr>
              <w:t xml:space="preserve">avec </w:t>
            </w:r>
            <w:r w:rsidR="003548A3" w:rsidRPr="005A0BE4">
              <w:rPr>
                <w:sz w:val="16"/>
                <w:szCs w:val="16"/>
              </w:rPr>
              <w:t>mesures de sécurité</w:t>
            </w:r>
            <w:r w:rsidR="003548A3">
              <w:rPr>
                <w:sz w:val="16"/>
                <w:szCs w:val="16"/>
              </w:rPr>
              <w:t> </w:t>
            </w:r>
            <w:r w:rsidR="003548A3">
              <w:rPr>
                <w:sz w:val="16"/>
                <w:szCs w:val="16"/>
              </w:rPr>
              <w:t xml:space="preserve">: maintien de la dalle de béton sur l’ensemble du terrain ; </w:t>
            </w:r>
            <w:r w:rsidR="003548A3" w:rsidRPr="00337E8F">
              <w:rPr>
                <w:sz w:val="16"/>
                <w:szCs w:val="16"/>
              </w:rPr>
              <w:t>absence de jardin potager et de zone verte</w:t>
            </w:r>
          </w:p>
        </w:tc>
        <w:tc>
          <w:tcPr>
            <w:tcW w:w="3194" w:type="dxa"/>
            <w:tcBorders>
              <w:top w:val="single" w:sz="4" w:space="0" w:color="auto"/>
            </w:tcBorders>
            <w:vAlign w:val="center"/>
          </w:tcPr>
          <w:p w:rsidR="002044E0" w:rsidRPr="005A0BE4" w:rsidRDefault="003548A3" w:rsidP="003548A3">
            <w:pPr>
              <w:spacing w:after="0"/>
              <w:jc w:val="center"/>
              <w:rPr>
                <w:sz w:val="16"/>
                <w:szCs w:val="16"/>
              </w:rPr>
            </w:pPr>
            <w:r>
              <w:rPr>
                <w:sz w:val="16"/>
                <w:szCs w:val="16"/>
              </w:rPr>
              <w:t xml:space="preserve">restriction de type d’usage : </w:t>
            </w:r>
            <w:r w:rsidR="00337E8F">
              <w:rPr>
                <w:sz w:val="16"/>
                <w:szCs w:val="16"/>
              </w:rPr>
              <w:t>interdiction d’utilisation agricole du terrain</w:t>
            </w:r>
          </w:p>
        </w:tc>
      </w:tr>
      <w:tr w:rsidR="002044E0" w:rsidRPr="00E75948" w:rsidTr="009C2292">
        <w:trPr>
          <w:trHeight w:val="424"/>
        </w:trPr>
        <w:tc>
          <w:tcPr>
            <w:tcW w:w="2759" w:type="dxa"/>
            <w:vAlign w:val="center"/>
          </w:tcPr>
          <w:p w:rsidR="002044E0" w:rsidRPr="002044E0" w:rsidRDefault="002044E0" w:rsidP="002044E0">
            <w:pPr>
              <w:spacing w:after="0"/>
              <w:jc w:val="center"/>
              <w:rPr>
                <w:sz w:val="16"/>
                <w:szCs w:val="16"/>
              </w:rPr>
            </w:pPr>
            <w:r w:rsidRPr="002044E0">
              <w:rPr>
                <w:sz w:val="16"/>
                <w:szCs w:val="16"/>
              </w:rPr>
              <w:t>Tache en hydrocarbures</w:t>
            </w:r>
            <w:r w:rsidR="00157AA2">
              <w:rPr>
                <w:sz w:val="16"/>
                <w:szCs w:val="16"/>
              </w:rPr>
              <w:t xml:space="preserve"> pétroliers</w:t>
            </w:r>
          </w:p>
        </w:tc>
        <w:tc>
          <w:tcPr>
            <w:tcW w:w="3194" w:type="dxa"/>
            <w:tcBorders>
              <w:top w:val="single" w:sz="4" w:space="0" w:color="auto"/>
            </w:tcBorders>
            <w:vAlign w:val="center"/>
          </w:tcPr>
          <w:p w:rsidR="002044E0" w:rsidRPr="005A0BE4" w:rsidRDefault="002044E0" w:rsidP="005A0BE4">
            <w:pPr>
              <w:spacing w:after="0"/>
              <w:jc w:val="center"/>
              <w:rPr>
                <w:sz w:val="16"/>
                <w:szCs w:val="16"/>
              </w:rPr>
            </w:pPr>
            <w:r w:rsidRPr="005A0BE4">
              <w:rPr>
                <w:sz w:val="16"/>
                <w:szCs w:val="16"/>
              </w:rPr>
              <w:t>assainissement non</w:t>
            </w:r>
            <w:r w:rsidR="001B0AD5">
              <w:rPr>
                <w:sz w:val="16"/>
                <w:szCs w:val="16"/>
              </w:rPr>
              <w:t xml:space="preserve"> requis</w:t>
            </w:r>
          </w:p>
        </w:tc>
        <w:tc>
          <w:tcPr>
            <w:tcW w:w="3194" w:type="dxa"/>
            <w:tcBorders>
              <w:top w:val="single" w:sz="4" w:space="0" w:color="auto"/>
            </w:tcBorders>
            <w:vAlign w:val="center"/>
          </w:tcPr>
          <w:p w:rsidR="002044E0" w:rsidRPr="005A0BE4" w:rsidRDefault="00BF2344" w:rsidP="002044E0">
            <w:pPr>
              <w:spacing w:after="0"/>
              <w:jc w:val="center"/>
              <w:rPr>
                <w:sz w:val="16"/>
                <w:szCs w:val="16"/>
              </w:rPr>
            </w:pPr>
            <w:r>
              <w:rPr>
                <w:sz w:val="16"/>
                <w:szCs w:val="16"/>
              </w:rPr>
              <w:t>/</w:t>
            </w:r>
          </w:p>
        </w:tc>
      </w:tr>
    </w:tbl>
    <w:p w:rsidR="009C2292" w:rsidRDefault="009C2292" w:rsidP="00A11C08">
      <w:pPr>
        <w:pStyle w:val="Corpsdetexte"/>
        <w:spacing w:after="60"/>
        <w:ind w:left="426"/>
        <w:rPr>
          <w:i/>
          <w:iCs/>
        </w:rPr>
      </w:pPr>
    </w:p>
    <w:p w:rsidR="004E1CE9" w:rsidRDefault="004E1CE9" w:rsidP="00A11C08">
      <w:pPr>
        <w:pStyle w:val="Corpsdetexte"/>
        <w:spacing w:after="60"/>
        <w:ind w:left="426"/>
      </w:pPr>
      <w:r>
        <w:rPr>
          <w:i/>
          <w:iCs/>
        </w:rPr>
        <w:lastRenderedPageBreak/>
        <w:t>Tableau 7 : Conclusions opérationnelles et additionnelles pour le volet santé humaine</w:t>
      </w:r>
    </w:p>
    <w:p w:rsidR="00A11C08" w:rsidRPr="009C2292" w:rsidRDefault="00A11C08" w:rsidP="00A11C08">
      <w:pPr>
        <w:pStyle w:val="Corpsdetexte"/>
        <w:spacing w:after="60"/>
        <w:ind w:left="284"/>
        <w:rPr>
          <w:strike/>
        </w:rPr>
      </w:pPr>
      <w:r w:rsidRPr="009C2292">
        <w:rPr>
          <w:strike/>
        </w:rPr>
        <w:t>4.2 Volet nappes</w:t>
      </w:r>
    </w:p>
    <w:p w:rsidR="00A11C08" w:rsidRPr="009C2292" w:rsidRDefault="00A11C08" w:rsidP="00A11C08">
      <w:pPr>
        <w:pStyle w:val="Corpsdetexte"/>
        <w:spacing w:after="60"/>
        <w:ind w:left="426"/>
        <w:rPr>
          <w:strike/>
        </w:rPr>
      </w:pPr>
      <w:r w:rsidRPr="009C2292">
        <w:rPr>
          <w:strike/>
        </w:rPr>
        <w:t>4.2.1 ESR-N</w:t>
      </w:r>
    </w:p>
    <w:p w:rsidR="00A11C08" w:rsidRPr="009C2292" w:rsidRDefault="00A11C08" w:rsidP="00A11C08">
      <w:pPr>
        <w:pStyle w:val="Corpsdetexte"/>
        <w:spacing w:after="60"/>
        <w:ind w:left="567"/>
        <w:rPr>
          <w:strike/>
        </w:rPr>
      </w:pPr>
      <w:r w:rsidRPr="009C2292">
        <w:rPr>
          <w:strike/>
        </w:rPr>
        <w:t>4.2.1</w:t>
      </w:r>
      <w:proofErr w:type="gramStart"/>
      <w:r w:rsidRPr="009C2292">
        <w:rPr>
          <w:strike/>
        </w:rPr>
        <w:t>.a</w:t>
      </w:r>
      <w:proofErr w:type="gramEnd"/>
      <w:r w:rsidRPr="009C2292">
        <w:rPr>
          <w:strike/>
        </w:rPr>
        <w:t xml:space="preserve"> ESR-N module lessivage</w:t>
      </w:r>
    </w:p>
    <w:p w:rsidR="00A11C08" w:rsidRPr="009C2292" w:rsidRDefault="00A11C08" w:rsidP="00A11C08">
      <w:pPr>
        <w:pStyle w:val="Corpsdetexte"/>
        <w:spacing w:after="60"/>
        <w:ind w:left="567"/>
        <w:rPr>
          <w:strike/>
        </w:rPr>
      </w:pPr>
      <w:r w:rsidRPr="009C2292">
        <w:rPr>
          <w:strike/>
        </w:rPr>
        <w:t>4.2.1</w:t>
      </w:r>
      <w:proofErr w:type="gramStart"/>
      <w:r w:rsidRPr="009C2292">
        <w:rPr>
          <w:strike/>
        </w:rPr>
        <w:t>.b</w:t>
      </w:r>
      <w:proofErr w:type="gramEnd"/>
      <w:r w:rsidRPr="009C2292">
        <w:rPr>
          <w:strike/>
        </w:rPr>
        <w:t xml:space="preserve"> ESR-N module dispersion</w:t>
      </w:r>
    </w:p>
    <w:p w:rsidR="00A11C08" w:rsidRPr="009C2292" w:rsidRDefault="00A11C08" w:rsidP="00A11C08">
      <w:pPr>
        <w:pStyle w:val="Corpsdetexte"/>
        <w:spacing w:after="60"/>
        <w:ind w:left="567"/>
        <w:rPr>
          <w:strike/>
        </w:rPr>
      </w:pPr>
      <w:r w:rsidRPr="009C2292">
        <w:rPr>
          <w:strike/>
        </w:rPr>
        <w:t>4.2.1</w:t>
      </w:r>
      <w:proofErr w:type="gramStart"/>
      <w:r w:rsidRPr="009C2292">
        <w:rPr>
          <w:strike/>
        </w:rPr>
        <w:t>.c</w:t>
      </w:r>
      <w:proofErr w:type="gramEnd"/>
      <w:r w:rsidRPr="009C2292">
        <w:rPr>
          <w:strike/>
        </w:rPr>
        <w:t xml:space="preserve"> Conclusions</w:t>
      </w:r>
    </w:p>
    <w:p w:rsidR="00A11C08" w:rsidRPr="009C2292" w:rsidRDefault="00A11C08" w:rsidP="00A11C08">
      <w:pPr>
        <w:pStyle w:val="Corpsdetexte"/>
        <w:spacing w:after="60"/>
        <w:ind w:left="426"/>
        <w:rPr>
          <w:strike/>
        </w:rPr>
      </w:pPr>
      <w:r w:rsidRPr="009C2292">
        <w:rPr>
          <w:strike/>
        </w:rPr>
        <w:t>4.2.2 EDR-N</w:t>
      </w:r>
    </w:p>
    <w:p w:rsidR="00A11C08" w:rsidRPr="009C2292" w:rsidRDefault="00A11C08" w:rsidP="00A11C08">
      <w:pPr>
        <w:pStyle w:val="Corpsdetexte"/>
        <w:spacing w:after="60"/>
        <w:ind w:left="567"/>
        <w:rPr>
          <w:strike/>
        </w:rPr>
      </w:pPr>
      <w:r w:rsidRPr="009C2292">
        <w:rPr>
          <w:strike/>
        </w:rPr>
        <w:t>4.2.2</w:t>
      </w:r>
      <w:proofErr w:type="gramStart"/>
      <w:r w:rsidRPr="009C2292">
        <w:rPr>
          <w:strike/>
        </w:rPr>
        <w:t>.a</w:t>
      </w:r>
      <w:proofErr w:type="gramEnd"/>
      <w:r w:rsidRPr="009C2292">
        <w:rPr>
          <w:strike/>
        </w:rPr>
        <w:t xml:space="preserve"> EDR-N module lessivage</w:t>
      </w:r>
    </w:p>
    <w:p w:rsidR="00A11C08" w:rsidRPr="009C2292" w:rsidRDefault="00A11C08" w:rsidP="00A11C08">
      <w:pPr>
        <w:pStyle w:val="Corpsdetexte"/>
        <w:spacing w:after="60"/>
        <w:ind w:left="567"/>
        <w:rPr>
          <w:strike/>
        </w:rPr>
      </w:pPr>
      <w:r w:rsidRPr="009C2292">
        <w:rPr>
          <w:strike/>
        </w:rPr>
        <w:t>4.2.2</w:t>
      </w:r>
      <w:proofErr w:type="gramStart"/>
      <w:r w:rsidRPr="009C2292">
        <w:rPr>
          <w:strike/>
        </w:rPr>
        <w:t>.b</w:t>
      </w:r>
      <w:proofErr w:type="gramEnd"/>
      <w:r w:rsidRPr="009C2292">
        <w:rPr>
          <w:strike/>
        </w:rPr>
        <w:t xml:space="preserve"> EDR-N module dispersion</w:t>
      </w:r>
    </w:p>
    <w:p w:rsidR="00A11C08" w:rsidRPr="009C2292" w:rsidRDefault="00A11C08" w:rsidP="00A11C08">
      <w:pPr>
        <w:pStyle w:val="Corpsdetexte"/>
        <w:spacing w:after="60"/>
        <w:ind w:left="567"/>
        <w:rPr>
          <w:strike/>
        </w:rPr>
      </w:pPr>
      <w:r w:rsidRPr="009C2292">
        <w:rPr>
          <w:strike/>
        </w:rPr>
        <w:t>4.2.2</w:t>
      </w:r>
      <w:proofErr w:type="gramStart"/>
      <w:r w:rsidRPr="009C2292">
        <w:rPr>
          <w:strike/>
        </w:rPr>
        <w:t>.c</w:t>
      </w:r>
      <w:proofErr w:type="gramEnd"/>
      <w:r w:rsidRPr="009C2292">
        <w:rPr>
          <w:strike/>
        </w:rPr>
        <w:t xml:space="preserve"> Conclusions</w:t>
      </w:r>
    </w:p>
    <w:p w:rsidR="00A11C08" w:rsidRPr="009C2292" w:rsidRDefault="00A11C08" w:rsidP="00A11C08">
      <w:pPr>
        <w:pStyle w:val="Corpsdetexte"/>
        <w:spacing w:after="60"/>
        <w:ind w:left="426"/>
        <w:rPr>
          <w:strike/>
        </w:rPr>
      </w:pPr>
      <w:r w:rsidRPr="009C2292">
        <w:rPr>
          <w:strike/>
        </w:rPr>
        <w:t>4.2.3 Interprétation globale (ER-N)</w:t>
      </w:r>
    </w:p>
    <w:p w:rsidR="004E1CE9" w:rsidRPr="009C2292" w:rsidRDefault="004E1CE9" w:rsidP="00A11C08">
      <w:pPr>
        <w:pStyle w:val="Corpsdetexte"/>
        <w:spacing w:after="60"/>
        <w:ind w:left="426"/>
        <w:rPr>
          <w:i/>
          <w:iCs/>
          <w:strike/>
        </w:rPr>
      </w:pPr>
      <w:r w:rsidRPr="009C2292">
        <w:rPr>
          <w:i/>
          <w:iCs/>
          <w:strike/>
        </w:rPr>
        <w:t xml:space="preserve">Tableau 8 : Interprétation en termes de menace grave de l’étude de risques pour l e volet </w:t>
      </w:r>
      <w:proofErr w:type="gramStart"/>
      <w:r w:rsidRPr="009C2292">
        <w:rPr>
          <w:i/>
          <w:iCs/>
          <w:strike/>
        </w:rPr>
        <w:t>nappes</w:t>
      </w:r>
      <w:proofErr w:type="gramEnd"/>
    </w:p>
    <w:p w:rsidR="004E1CE9" w:rsidRPr="009C2292" w:rsidRDefault="004E1CE9" w:rsidP="00A11C08">
      <w:pPr>
        <w:pStyle w:val="Corpsdetexte"/>
        <w:spacing w:after="60"/>
        <w:ind w:left="426"/>
        <w:rPr>
          <w:i/>
          <w:iCs/>
          <w:strike/>
        </w:rPr>
      </w:pPr>
      <w:r w:rsidRPr="009C2292">
        <w:rPr>
          <w:i/>
          <w:iCs/>
          <w:strike/>
        </w:rPr>
        <w:t>Tableau 9 : Conclusions opérationnelles et additionnelles pour le volet nappes</w:t>
      </w:r>
    </w:p>
    <w:p w:rsidR="00A11C08" w:rsidRPr="009C2292" w:rsidRDefault="00A11C08" w:rsidP="00A11C08">
      <w:pPr>
        <w:pStyle w:val="Corpsdetexte"/>
        <w:spacing w:after="60"/>
        <w:ind w:left="284"/>
        <w:rPr>
          <w:strike/>
        </w:rPr>
      </w:pPr>
      <w:r w:rsidRPr="009C2292">
        <w:rPr>
          <w:strike/>
        </w:rPr>
        <w:t>4.3 Volet Ecosystèmes</w:t>
      </w:r>
    </w:p>
    <w:p w:rsidR="00A11C08" w:rsidRPr="009C2292" w:rsidRDefault="00A11C08" w:rsidP="00A11C08">
      <w:pPr>
        <w:pStyle w:val="Corpsdetexte"/>
        <w:spacing w:after="60"/>
        <w:ind w:left="426"/>
        <w:rPr>
          <w:strike/>
        </w:rPr>
      </w:pPr>
      <w:r w:rsidRPr="009C2292">
        <w:rPr>
          <w:strike/>
        </w:rPr>
        <w:t>4.3.1 ESR-E</w:t>
      </w:r>
    </w:p>
    <w:p w:rsidR="00A11C08" w:rsidRPr="009C2292" w:rsidRDefault="00C5612E" w:rsidP="00A11C08">
      <w:pPr>
        <w:pStyle w:val="Corpsdetexte"/>
        <w:spacing w:after="60"/>
        <w:ind w:left="567"/>
        <w:rPr>
          <w:strike/>
        </w:rPr>
      </w:pPr>
      <w:r w:rsidRPr="009C2292">
        <w:rPr>
          <w:strike/>
        </w:rPr>
        <w:t>4.3.1</w:t>
      </w:r>
      <w:proofErr w:type="gramStart"/>
      <w:r w:rsidRPr="009C2292">
        <w:rPr>
          <w:strike/>
        </w:rPr>
        <w:t>.a</w:t>
      </w:r>
      <w:proofErr w:type="gramEnd"/>
      <w:r w:rsidRPr="009C2292">
        <w:rPr>
          <w:strike/>
        </w:rPr>
        <w:t xml:space="preserve"> C</w:t>
      </w:r>
      <w:r w:rsidR="00A11C08" w:rsidRPr="009C2292">
        <w:rPr>
          <w:strike/>
        </w:rPr>
        <w:t>omparaison des concentrations représentatives</w:t>
      </w:r>
    </w:p>
    <w:p w:rsidR="00A11C08" w:rsidRPr="009C2292" w:rsidRDefault="00A11C08" w:rsidP="00A11C08">
      <w:pPr>
        <w:pStyle w:val="Corpsdetexte"/>
        <w:spacing w:after="60"/>
        <w:ind w:left="567"/>
        <w:rPr>
          <w:strike/>
        </w:rPr>
      </w:pPr>
      <w:r w:rsidRPr="009C2292">
        <w:rPr>
          <w:strike/>
        </w:rPr>
        <w:t>4.3.1</w:t>
      </w:r>
      <w:proofErr w:type="gramStart"/>
      <w:r w:rsidRPr="009C2292">
        <w:rPr>
          <w:strike/>
        </w:rPr>
        <w:t>.b</w:t>
      </w:r>
      <w:proofErr w:type="gramEnd"/>
      <w:r w:rsidRPr="009C2292">
        <w:rPr>
          <w:strike/>
        </w:rPr>
        <w:t xml:space="preserve"> Interprétation des résultats</w:t>
      </w:r>
    </w:p>
    <w:p w:rsidR="00A11C08" w:rsidRPr="009C2292" w:rsidRDefault="00A11C08" w:rsidP="00A11C08">
      <w:pPr>
        <w:pStyle w:val="Corpsdetexte"/>
        <w:spacing w:after="60"/>
        <w:ind w:left="567"/>
        <w:rPr>
          <w:strike/>
        </w:rPr>
      </w:pPr>
      <w:r w:rsidRPr="009C2292">
        <w:rPr>
          <w:strike/>
        </w:rPr>
        <w:t>4.3.1</w:t>
      </w:r>
      <w:proofErr w:type="gramStart"/>
      <w:r w:rsidRPr="009C2292">
        <w:rPr>
          <w:strike/>
        </w:rPr>
        <w:t>.c</w:t>
      </w:r>
      <w:proofErr w:type="gramEnd"/>
      <w:r w:rsidRPr="009C2292">
        <w:rPr>
          <w:strike/>
        </w:rPr>
        <w:t xml:space="preserve"> Conclusions</w:t>
      </w:r>
    </w:p>
    <w:p w:rsidR="00A11C08" w:rsidRPr="009C2292" w:rsidRDefault="00A11C08" w:rsidP="00A11C08">
      <w:pPr>
        <w:pStyle w:val="Corpsdetexte"/>
        <w:spacing w:after="60"/>
        <w:ind w:left="426"/>
        <w:rPr>
          <w:strike/>
        </w:rPr>
      </w:pPr>
      <w:r w:rsidRPr="009C2292">
        <w:rPr>
          <w:strike/>
        </w:rPr>
        <w:t>4.3.2 EDR-E</w:t>
      </w:r>
    </w:p>
    <w:p w:rsidR="00A11C08" w:rsidRPr="009C2292" w:rsidRDefault="00A11C08" w:rsidP="00A11C08">
      <w:pPr>
        <w:pStyle w:val="Corpsdetexte"/>
        <w:spacing w:after="60"/>
        <w:ind w:left="426"/>
        <w:rPr>
          <w:strike/>
        </w:rPr>
      </w:pPr>
      <w:r w:rsidRPr="009C2292">
        <w:rPr>
          <w:strike/>
        </w:rPr>
        <w:t>4.3.3 Interprétation globale (ER-E)</w:t>
      </w:r>
    </w:p>
    <w:p w:rsidR="004E1CE9" w:rsidRPr="009C2292" w:rsidRDefault="004E1CE9" w:rsidP="00A11C08">
      <w:pPr>
        <w:pStyle w:val="Corpsdetexte"/>
        <w:spacing w:after="60"/>
        <w:ind w:left="426"/>
        <w:rPr>
          <w:i/>
          <w:iCs/>
          <w:strike/>
        </w:rPr>
      </w:pPr>
      <w:r w:rsidRPr="009C2292">
        <w:rPr>
          <w:i/>
          <w:iCs/>
          <w:strike/>
        </w:rPr>
        <w:t>Tableau 10 : Interprétation en termes de stress biologique pour le volet écosystème</w:t>
      </w:r>
    </w:p>
    <w:p w:rsidR="004E1CE9" w:rsidRPr="009C2292" w:rsidRDefault="004E1CE9" w:rsidP="00A11C08">
      <w:pPr>
        <w:pStyle w:val="Corpsdetexte"/>
        <w:spacing w:after="60"/>
        <w:ind w:left="426"/>
        <w:rPr>
          <w:strike/>
        </w:rPr>
      </w:pPr>
      <w:r w:rsidRPr="009C2292">
        <w:rPr>
          <w:i/>
          <w:iCs/>
          <w:strike/>
        </w:rPr>
        <w:t>Tableau 11 : Conclusions opérationnelles et additionnelles pour le volet écosystème</w:t>
      </w:r>
    </w:p>
    <w:p w:rsidR="005A0C68" w:rsidRDefault="005A0C68" w:rsidP="00A11C08">
      <w:pPr>
        <w:pStyle w:val="Corpsdetexte"/>
        <w:spacing w:after="60"/>
        <w:rPr>
          <w:b/>
          <w:u w:val="single"/>
        </w:rPr>
      </w:pPr>
    </w:p>
    <w:p w:rsidR="00A11C08" w:rsidRPr="00BF2344" w:rsidRDefault="007C38D0" w:rsidP="00A11C08">
      <w:pPr>
        <w:pStyle w:val="Corpsdetexte"/>
        <w:spacing w:after="60"/>
        <w:rPr>
          <w:b/>
          <w:u w:val="single"/>
        </w:rPr>
      </w:pPr>
      <w:r w:rsidRPr="00BF2344">
        <w:rPr>
          <w:b/>
          <w:u w:val="single"/>
        </w:rPr>
        <w:t>5. Globalisation des résultats et conclusions</w:t>
      </w:r>
    </w:p>
    <w:p w:rsidR="002044E0" w:rsidRDefault="002044E0" w:rsidP="002044E0">
      <w:pPr>
        <w:pStyle w:val="Corpsdetexte"/>
        <w:spacing w:after="60"/>
      </w:pPr>
    </w:p>
    <w:p w:rsidR="00344F7D" w:rsidRDefault="005A0BE4" w:rsidP="005A0BE4">
      <w:pPr>
        <w:pStyle w:val="Corpsdetexte"/>
        <w:spacing w:after="60"/>
      </w:pPr>
      <w:r>
        <w:t xml:space="preserve">Concernant le volet santé humaine, l’usage actuel </w:t>
      </w:r>
      <w:r w:rsidR="00FF0D9B">
        <w:t>ne présente pas de menace grave</w:t>
      </w:r>
      <w:r>
        <w:t xml:space="preserve">. Dans la situation projet, </w:t>
      </w:r>
      <w:r w:rsidR="004025F2">
        <w:t xml:space="preserve">un assainissement n’est pas requis mais </w:t>
      </w:r>
      <w:r>
        <w:t xml:space="preserve">il est nécessaire de garder la dalle de béton actuellement présente afin de supprimer le risque d’ingestion de sol et de poussières </w:t>
      </w:r>
      <w:r w:rsidR="001B0AD5">
        <w:t xml:space="preserve">de </w:t>
      </w:r>
      <w:r>
        <w:t>sol.</w:t>
      </w:r>
      <w:r w:rsidR="00337E8F">
        <w:t xml:space="preserve"> Ceci implique également l’absence de jardin potager et de zone verte au droit du terrain.</w:t>
      </w:r>
    </w:p>
    <w:p w:rsidR="002044E0" w:rsidRDefault="002044E0" w:rsidP="002044E0">
      <w:pPr>
        <w:pStyle w:val="Corpsdetexte"/>
        <w:spacing w:after="60"/>
      </w:pPr>
      <w:bookmarkStart w:id="1" w:name="_GoBack"/>
      <w:bookmarkEnd w:id="1"/>
    </w:p>
    <w:p w:rsidR="002044E0" w:rsidRDefault="002044E0" w:rsidP="002044E0">
      <w:pPr>
        <w:pStyle w:val="Corpsdetexte"/>
        <w:spacing w:after="60"/>
      </w:pPr>
      <w:r>
        <w:t xml:space="preserve">Un CCS est proposé en usage </w:t>
      </w:r>
      <w:r w:rsidR="004025F2">
        <w:t xml:space="preserve">de type </w:t>
      </w:r>
      <w:r>
        <w:t>III</w:t>
      </w:r>
      <w:r w:rsidR="004025F2">
        <w:t xml:space="preserve"> (</w:t>
      </w:r>
      <w:r>
        <w:t>résidentiel</w:t>
      </w:r>
      <w:r w:rsidR="004025F2">
        <w:t>)</w:t>
      </w:r>
      <w:r>
        <w:t xml:space="preserve"> avec l</w:t>
      </w:r>
      <w:r w:rsidR="00157AA2">
        <w:t>es</w:t>
      </w:r>
      <w:r>
        <w:t xml:space="preserve"> mesure</w:t>
      </w:r>
      <w:r w:rsidR="00157AA2">
        <w:t>s</w:t>
      </w:r>
      <w:r>
        <w:t xml:space="preserve"> de sécurité suivante : conservation de la dalle de béton</w:t>
      </w:r>
      <w:r w:rsidR="003548A3">
        <w:t>, absence de jardins potagers et de zone vertes</w:t>
      </w:r>
    </w:p>
    <w:p w:rsidR="005A0BE4" w:rsidRDefault="005A0BE4" w:rsidP="002044E0">
      <w:pPr>
        <w:pStyle w:val="Corpsdetexte"/>
        <w:spacing w:after="60"/>
      </w:pPr>
    </w:p>
    <w:p w:rsidR="005A0BE4" w:rsidRDefault="005A0BE4" w:rsidP="002044E0">
      <w:pPr>
        <w:pStyle w:val="Corpsdetexte"/>
        <w:spacing w:after="60"/>
      </w:pPr>
      <w:r>
        <w:t>Les tableaux 12 et 13 présentent la globalisation des résultats de l’étude de risque</w:t>
      </w:r>
      <w:r w:rsidR="003548A3">
        <w:t>s</w:t>
      </w:r>
      <w:r>
        <w:t>.</w:t>
      </w:r>
    </w:p>
    <w:p w:rsidR="009C2292" w:rsidRDefault="009C2292" w:rsidP="00A11C08">
      <w:pPr>
        <w:pStyle w:val="Corpsdetexte"/>
        <w:spacing w:after="60"/>
      </w:pPr>
    </w:p>
    <w:tbl>
      <w:tblPr>
        <w:tblStyle w:val="Grilledutableau"/>
        <w:tblW w:w="0" w:type="auto"/>
        <w:tblLook w:val="04A0"/>
      </w:tblPr>
      <w:tblGrid>
        <w:gridCol w:w="2303"/>
        <w:gridCol w:w="2303"/>
        <w:gridCol w:w="2303"/>
        <w:gridCol w:w="2304"/>
      </w:tblGrid>
      <w:tr w:rsidR="009C2292" w:rsidTr="009C2292">
        <w:trPr>
          <w:trHeight w:val="375"/>
        </w:trPr>
        <w:tc>
          <w:tcPr>
            <w:tcW w:w="9213" w:type="dxa"/>
            <w:gridSpan w:val="4"/>
            <w:vAlign w:val="center"/>
          </w:tcPr>
          <w:p w:rsidR="009C2292" w:rsidRPr="00E249E0" w:rsidRDefault="009C2292" w:rsidP="009C2292">
            <w:pPr>
              <w:spacing w:after="0"/>
              <w:jc w:val="center"/>
              <w:rPr>
                <w:b/>
                <w:i/>
              </w:rPr>
            </w:pPr>
            <w:r>
              <w:rPr>
                <w:b/>
                <w:i/>
              </w:rPr>
              <w:t>Globalisation des résultats</w:t>
            </w:r>
          </w:p>
        </w:tc>
      </w:tr>
      <w:tr w:rsidR="009C2292" w:rsidTr="009C2292">
        <w:trPr>
          <w:trHeight w:val="422"/>
        </w:trPr>
        <w:tc>
          <w:tcPr>
            <w:tcW w:w="2303" w:type="dxa"/>
            <w:vAlign w:val="center"/>
          </w:tcPr>
          <w:p w:rsidR="009C2292" w:rsidRPr="005A0BE4" w:rsidRDefault="009C2292" w:rsidP="009C2292">
            <w:pPr>
              <w:spacing w:after="0"/>
              <w:jc w:val="center"/>
            </w:pPr>
            <w:r w:rsidRPr="005A0BE4">
              <w:t>Base d’évaluation</w:t>
            </w:r>
          </w:p>
        </w:tc>
        <w:tc>
          <w:tcPr>
            <w:tcW w:w="2303" w:type="dxa"/>
            <w:vAlign w:val="center"/>
          </w:tcPr>
          <w:p w:rsidR="009C2292" w:rsidRPr="005A0BE4" w:rsidRDefault="009C2292" w:rsidP="009C2292">
            <w:pPr>
              <w:spacing w:after="0"/>
              <w:jc w:val="center"/>
            </w:pPr>
            <w:r w:rsidRPr="005A0BE4">
              <w:t>Santé humaine</w:t>
            </w:r>
          </w:p>
        </w:tc>
        <w:tc>
          <w:tcPr>
            <w:tcW w:w="2303" w:type="dxa"/>
            <w:vAlign w:val="center"/>
          </w:tcPr>
          <w:p w:rsidR="009C2292" w:rsidRPr="009C2292" w:rsidRDefault="009C2292" w:rsidP="009C2292">
            <w:pPr>
              <w:spacing w:after="0"/>
              <w:jc w:val="center"/>
              <w:rPr>
                <w:strike/>
              </w:rPr>
            </w:pPr>
            <w:r w:rsidRPr="009C2292">
              <w:rPr>
                <w:strike/>
              </w:rPr>
              <w:t>Nappes</w:t>
            </w:r>
          </w:p>
        </w:tc>
        <w:tc>
          <w:tcPr>
            <w:tcW w:w="2304" w:type="dxa"/>
            <w:vAlign w:val="center"/>
          </w:tcPr>
          <w:p w:rsidR="009C2292" w:rsidRPr="009C2292" w:rsidRDefault="009C2292" w:rsidP="009C2292">
            <w:pPr>
              <w:spacing w:after="0"/>
              <w:jc w:val="center"/>
              <w:rPr>
                <w:strike/>
              </w:rPr>
            </w:pPr>
            <w:r w:rsidRPr="009C2292">
              <w:rPr>
                <w:strike/>
              </w:rPr>
              <w:t>Écosystèmes</w:t>
            </w:r>
          </w:p>
        </w:tc>
      </w:tr>
      <w:tr w:rsidR="009C2292" w:rsidTr="009C2292">
        <w:trPr>
          <w:trHeight w:val="326"/>
        </w:trPr>
        <w:tc>
          <w:tcPr>
            <w:tcW w:w="2303" w:type="dxa"/>
            <w:vAlign w:val="center"/>
          </w:tcPr>
          <w:p w:rsidR="009C2292" w:rsidRPr="005A0BE4" w:rsidRDefault="005A0BE4" w:rsidP="009C2292">
            <w:pPr>
              <w:spacing w:after="0"/>
              <w:jc w:val="center"/>
            </w:pPr>
            <w:r w:rsidRPr="005A0BE4">
              <w:t>G</w:t>
            </w:r>
            <w:r w:rsidR="009C2292" w:rsidRPr="005A0BE4">
              <w:t>énérique</w:t>
            </w:r>
            <w:r w:rsidRPr="005A0BE4">
              <w:t xml:space="preserve"> (II)</w:t>
            </w:r>
          </w:p>
        </w:tc>
        <w:tc>
          <w:tcPr>
            <w:tcW w:w="2303" w:type="dxa"/>
            <w:vAlign w:val="center"/>
          </w:tcPr>
          <w:p w:rsidR="009C2292" w:rsidRPr="005A0BE4" w:rsidRDefault="009C2292" w:rsidP="009C2292">
            <w:pPr>
              <w:spacing w:after="0"/>
              <w:jc w:val="center"/>
            </w:pPr>
            <w:r w:rsidRPr="005A0BE4">
              <w:t>MG</w:t>
            </w:r>
          </w:p>
        </w:tc>
        <w:tc>
          <w:tcPr>
            <w:tcW w:w="2303" w:type="dxa"/>
            <w:vAlign w:val="center"/>
          </w:tcPr>
          <w:p w:rsidR="009C2292" w:rsidRPr="009C2292" w:rsidRDefault="009C2292" w:rsidP="009C2292">
            <w:pPr>
              <w:spacing w:after="0"/>
              <w:jc w:val="center"/>
              <w:rPr>
                <w:strike/>
              </w:rPr>
            </w:pPr>
            <w:r w:rsidRPr="009C2292">
              <w:rPr>
                <w:strike/>
              </w:rPr>
              <w:t>AMG/MG</w:t>
            </w:r>
          </w:p>
        </w:tc>
        <w:tc>
          <w:tcPr>
            <w:tcW w:w="2304" w:type="dxa"/>
            <w:vAlign w:val="center"/>
          </w:tcPr>
          <w:p w:rsidR="009C2292" w:rsidRPr="009C2292" w:rsidRDefault="009C2292" w:rsidP="009C2292">
            <w:pPr>
              <w:spacing w:after="0"/>
              <w:jc w:val="center"/>
              <w:rPr>
                <w:strike/>
              </w:rPr>
            </w:pPr>
            <w:r w:rsidRPr="009C2292">
              <w:rPr>
                <w:strike/>
              </w:rPr>
              <w:t>ASB/SB</w:t>
            </w:r>
          </w:p>
        </w:tc>
      </w:tr>
      <w:tr w:rsidR="009C2292" w:rsidTr="009C2292">
        <w:trPr>
          <w:trHeight w:val="372"/>
        </w:trPr>
        <w:tc>
          <w:tcPr>
            <w:tcW w:w="2303" w:type="dxa"/>
            <w:vAlign w:val="center"/>
          </w:tcPr>
          <w:p w:rsidR="009C2292" w:rsidRPr="005A0BE4" w:rsidRDefault="005A0BE4" w:rsidP="009C2292">
            <w:pPr>
              <w:spacing w:after="0"/>
              <w:jc w:val="center"/>
            </w:pPr>
            <w:r w:rsidRPr="005A0BE4">
              <w:t>A</w:t>
            </w:r>
            <w:r w:rsidR="009C2292" w:rsidRPr="005A0BE4">
              <w:t>ctuelle</w:t>
            </w:r>
            <w:r w:rsidRPr="005A0BE4">
              <w:t xml:space="preserve"> (V)</w:t>
            </w:r>
          </w:p>
        </w:tc>
        <w:tc>
          <w:tcPr>
            <w:tcW w:w="2303" w:type="dxa"/>
            <w:vAlign w:val="center"/>
          </w:tcPr>
          <w:p w:rsidR="009C2292" w:rsidRPr="005A0BE4" w:rsidRDefault="009C2292" w:rsidP="005A0BE4">
            <w:pPr>
              <w:spacing w:after="0"/>
              <w:jc w:val="center"/>
            </w:pPr>
            <w:r w:rsidRPr="005A0BE4">
              <w:t>AMG</w:t>
            </w:r>
          </w:p>
        </w:tc>
        <w:tc>
          <w:tcPr>
            <w:tcW w:w="2303" w:type="dxa"/>
            <w:vAlign w:val="center"/>
          </w:tcPr>
          <w:p w:rsidR="009C2292" w:rsidRPr="009C2292" w:rsidRDefault="009C2292" w:rsidP="009C2292">
            <w:pPr>
              <w:spacing w:after="0"/>
              <w:jc w:val="center"/>
              <w:rPr>
                <w:strike/>
              </w:rPr>
            </w:pPr>
            <w:r w:rsidRPr="009C2292">
              <w:rPr>
                <w:strike/>
              </w:rPr>
              <w:t>AMG/MG</w:t>
            </w:r>
          </w:p>
        </w:tc>
        <w:tc>
          <w:tcPr>
            <w:tcW w:w="2304" w:type="dxa"/>
            <w:vAlign w:val="center"/>
          </w:tcPr>
          <w:p w:rsidR="009C2292" w:rsidRPr="009C2292" w:rsidRDefault="009C2292" w:rsidP="009C2292">
            <w:pPr>
              <w:spacing w:after="0"/>
              <w:jc w:val="center"/>
              <w:rPr>
                <w:strike/>
              </w:rPr>
            </w:pPr>
            <w:r w:rsidRPr="009C2292">
              <w:rPr>
                <w:strike/>
              </w:rPr>
              <w:t>ASB/SB</w:t>
            </w:r>
          </w:p>
        </w:tc>
      </w:tr>
      <w:tr w:rsidR="009C2292" w:rsidTr="009C2292">
        <w:trPr>
          <w:trHeight w:val="276"/>
        </w:trPr>
        <w:tc>
          <w:tcPr>
            <w:tcW w:w="2303" w:type="dxa"/>
            <w:vAlign w:val="center"/>
          </w:tcPr>
          <w:p w:rsidR="009C2292" w:rsidRPr="005A0BE4" w:rsidRDefault="005A0BE4" w:rsidP="009C2292">
            <w:pPr>
              <w:spacing w:after="0"/>
              <w:jc w:val="center"/>
            </w:pPr>
            <w:r w:rsidRPr="005A0BE4">
              <w:t>P</w:t>
            </w:r>
            <w:r w:rsidR="009C2292" w:rsidRPr="005A0BE4">
              <w:t>rojetée</w:t>
            </w:r>
            <w:r w:rsidRPr="005A0BE4">
              <w:t xml:space="preserve"> (III)</w:t>
            </w:r>
          </w:p>
        </w:tc>
        <w:tc>
          <w:tcPr>
            <w:tcW w:w="2303" w:type="dxa"/>
            <w:vAlign w:val="center"/>
          </w:tcPr>
          <w:p w:rsidR="009C2292" w:rsidRPr="005A0BE4" w:rsidRDefault="009C2292" w:rsidP="005A0BE4">
            <w:pPr>
              <w:spacing w:after="0"/>
              <w:jc w:val="center"/>
            </w:pPr>
            <w:r w:rsidRPr="005A0BE4">
              <w:t>AMG/</w:t>
            </w:r>
            <w:r w:rsidR="005A0BE4" w:rsidRPr="005A0BE4">
              <w:t>MSS</w:t>
            </w:r>
          </w:p>
        </w:tc>
        <w:tc>
          <w:tcPr>
            <w:tcW w:w="2303" w:type="dxa"/>
            <w:vAlign w:val="center"/>
          </w:tcPr>
          <w:p w:rsidR="009C2292" w:rsidRPr="009C2292" w:rsidRDefault="009C2292" w:rsidP="009C2292">
            <w:pPr>
              <w:spacing w:after="0"/>
              <w:jc w:val="center"/>
              <w:rPr>
                <w:strike/>
              </w:rPr>
            </w:pPr>
            <w:r w:rsidRPr="009C2292">
              <w:rPr>
                <w:strike/>
              </w:rPr>
              <w:t>AMG/MG</w:t>
            </w:r>
          </w:p>
        </w:tc>
        <w:tc>
          <w:tcPr>
            <w:tcW w:w="2304" w:type="dxa"/>
            <w:vAlign w:val="center"/>
          </w:tcPr>
          <w:p w:rsidR="009C2292" w:rsidRPr="009C2292" w:rsidRDefault="009C2292" w:rsidP="009C2292">
            <w:pPr>
              <w:spacing w:after="0"/>
              <w:jc w:val="center"/>
              <w:rPr>
                <w:strike/>
              </w:rPr>
            </w:pPr>
            <w:r w:rsidRPr="009C2292">
              <w:rPr>
                <w:strike/>
              </w:rPr>
              <w:t>ASB/SB</w:t>
            </w:r>
          </w:p>
        </w:tc>
      </w:tr>
    </w:tbl>
    <w:p w:rsidR="009C2292" w:rsidRDefault="009C2292" w:rsidP="00A11C08">
      <w:pPr>
        <w:pStyle w:val="Corpsdetexte"/>
        <w:spacing w:after="60"/>
      </w:pPr>
    </w:p>
    <w:p w:rsidR="00502B8B" w:rsidRDefault="004E1CE9" w:rsidP="00A11C08">
      <w:pPr>
        <w:pStyle w:val="Corpsdetexte"/>
        <w:spacing w:after="60"/>
        <w:rPr>
          <w:i/>
          <w:iCs/>
        </w:rPr>
      </w:pPr>
      <w:r>
        <w:rPr>
          <w:i/>
          <w:iCs/>
        </w:rPr>
        <w:t>Tableau 12 : Globalisation des résultats pour les bases d’évaluations considérées</w:t>
      </w:r>
    </w:p>
    <w:p w:rsidR="00502B8B" w:rsidRDefault="00502B8B">
      <w:pPr>
        <w:spacing w:after="0"/>
        <w:jc w:val="left"/>
        <w:rPr>
          <w:i/>
          <w:iCs/>
        </w:rPr>
      </w:pPr>
      <w:r>
        <w:rPr>
          <w:i/>
          <w:iCs/>
        </w:rPr>
        <w:br w:type="page"/>
      </w:r>
    </w:p>
    <w:p w:rsidR="004E1CE9" w:rsidRDefault="004E1CE9" w:rsidP="00A11C08">
      <w:pPr>
        <w:pStyle w:val="Corpsdetexte"/>
        <w:spacing w:after="60"/>
        <w:rPr>
          <w:i/>
          <w:iCs/>
        </w:rPr>
      </w:pPr>
    </w:p>
    <w:tbl>
      <w:tblPr>
        <w:tblpPr w:leftFromText="141" w:rightFromText="141"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3194"/>
        <w:gridCol w:w="3194"/>
      </w:tblGrid>
      <w:tr w:rsidR="009C2292" w:rsidRPr="00E75948" w:rsidTr="009C2292">
        <w:trPr>
          <w:trHeight w:val="410"/>
        </w:trPr>
        <w:tc>
          <w:tcPr>
            <w:tcW w:w="2759" w:type="dxa"/>
            <w:tcBorders>
              <w:right w:val="single" w:sz="4" w:space="0" w:color="auto"/>
            </w:tcBorders>
            <w:vAlign w:val="center"/>
          </w:tcPr>
          <w:p w:rsidR="009C2292" w:rsidRPr="0021626B" w:rsidRDefault="009C2292" w:rsidP="009C2292">
            <w:pPr>
              <w:spacing w:after="0"/>
              <w:jc w:val="center"/>
              <w:rPr>
                <w:i/>
              </w:rPr>
            </w:pPr>
            <w:r w:rsidRPr="0021626B">
              <w:rPr>
                <w:i/>
              </w:rPr>
              <w:t>Zone de pollution</w:t>
            </w:r>
          </w:p>
        </w:tc>
        <w:tc>
          <w:tcPr>
            <w:tcW w:w="3194" w:type="dxa"/>
            <w:tcBorders>
              <w:top w:val="single" w:sz="4" w:space="0" w:color="auto"/>
              <w:left w:val="single" w:sz="4" w:space="0" w:color="auto"/>
              <w:bottom w:val="nil"/>
              <w:right w:val="single" w:sz="4" w:space="0" w:color="auto"/>
            </w:tcBorders>
            <w:vAlign w:val="center"/>
          </w:tcPr>
          <w:p w:rsidR="009C2292" w:rsidRPr="0021626B" w:rsidRDefault="009C2292" w:rsidP="009C2292">
            <w:pPr>
              <w:spacing w:after="0"/>
              <w:jc w:val="center"/>
              <w:rPr>
                <w:i/>
              </w:rPr>
            </w:pPr>
            <w:r w:rsidRPr="0021626B">
              <w:rPr>
                <w:i/>
              </w:rPr>
              <w:t>conclusion opérationnelle</w:t>
            </w:r>
          </w:p>
        </w:tc>
        <w:tc>
          <w:tcPr>
            <w:tcW w:w="3194" w:type="dxa"/>
            <w:tcBorders>
              <w:top w:val="single" w:sz="4" w:space="0" w:color="auto"/>
              <w:left w:val="single" w:sz="4" w:space="0" w:color="auto"/>
              <w:bottom w:val="nil"/>
              <w:right w:val="single" w:sz="4" w:space="0" w:color="auto"/>
            </w:tcBorders>
            <w:vAlign w:val="center"/>
          </w:tcPr>
          <w:p w:rsidR="009C2292" w:rsidRPr="0021626B" w:rsidRDefault="009C2292" w:rsidP="009C2292">
            <w:pPr>
              <w:spacing w:after="0"/>
              <w:jc w:val="center"/>
              <w:rPr>
                <w:i/>
              </w:rPr>
            </w:pPr>
            <w:r w:rsidRPr="0021626B">
              <w:rPr>
                <w:i/>
              </w:rPr>
              <w:t>conclusion additionnelle</w:t>
            </w:r>
          </w:p>
        </w:tc>
      </w:tr>
      <w:tr w:rsidR="005A0BE4" w:rsidRPr="00E75948" w:rsidTr="009C2292">
        <w:trPr>
          <w:trHeight w:val="424"/>
        </w:trPr>
        <w:tc>
          <w:tcPr>
            <w:tcW w:w="2759" w:type="dxa"/>
            <w:vAlign w:val="center"/>
          </w:tcPr>
          <w:p w:rsidR="005A0BE4" w:rsidRPr="002044E0" w:rsidRDefault="005A0BE4" w:rsidP="005A0BE4">
            <w:pPr>
              <w:spacing w:after="0"/>
              <w:jc w:val="center"/>
              <w:rPr>
                <w:sz w:val="16"/>
                <w:szCs w:val="16"/>
              </w:rPr>
            </w:pPr>
            <w:r w:rsidRPr="002044E0">
              <w:rPr>
                <w:sz w:val="16"/>
                <w:szCs w:val="16"/>
              </w:rPr>
              <w:t>Remblai</w:t>
            </w:r>
          </w:p>
        </w:tc>
        <w:tc>
          <w:tcPr>
            <w:tcW w:w="3194" w:type="dxa"/>
            <w:tcBorders>
              <w:top w:val="single" w:sz="4" w:space="0" w:color="auto"/>
            </w:tcBorders>
            <w:vAlign w:val="center"/>
          </w:tcPr>
          <w:p w:rsidR="005A0BE4" w:rsidRPr="005A0BE4" w:rsidRDefault="005A0BE4" w:rsidP="005A0BE4">
            <w:pPr>
              <w:spacing w:after="0"/>
              <w:jc w:val="center"/>
              <w:rPr>
                <w:sz w:val="16"/>
                <w:szCs w:val="16"/>
              </w:rPr>
            </w:pPr>
            <w:r w:rsidRPr="005A0BE4">
              <w:rPr>
                <w:sz w:val="16"/>
                <w:szCs w:val="16"/>
              </w:rPr>
              <w:t>assainissement non</w:t>
            </w:r>
            <w:r w:rsidR="001B0AD5">
              <w:rPr>
                <w:sz w:val="16"/>
                <w:szCs w:val="16"/>
              </w:rPr>
              <w:t xml:space="preserve"> requis</w:t>
            </w:r>
          </w:p>
        </w:tc>
        <w:tc>
          <w:tcPr>
            <w:tcW w:w="3194" w:type="dxa"/>
            <w:tcBorders>
              <w:top w:val="single" w:sz="4" w:space="0" w:color="auto"/>
            </w:tcBorders>
            <w:vAlign w:val="center"/>
          </w:tcPr>
          <w:p w:rsidR="005A0BE4" w:rsidRPr="005A0BE4" w:rsidRDefault="005A0BE4" w:rsidP="005A0BE4">
            <w:pPr>
              <w:spacing w:after="0"/>
              <w:jc w:val="center"/>
              <w:rPr>
                <w:sz w:val="16"/>
                <w:szCs w:val="16"/>
              </w:rPr>
            </w:pPr>
            <w:r w:rsidRPr="005A0BE4">
              <w:rPr>
                <w:sz w:val="16"/>
                <w:szCs w:val="16"/>
              </w:rPr>
              <w:t>mesures de sécurité et de suivi</w:t>
            </w:r>
          </w:p>
        </w:tc>
      </w:tr>
      <w:tr w:rsidR="005A0BE4" w:rsidRPr="00E75948" w:rsidTr="009C2292">
        <w:trPr>
          <w:trHeight w:val="424"/>
        </w:trPr>
        <w:tc>
          <w:tcPr>
            <w:tcW w:w="2759" w:type="dxa"/>
            <w:vAlign w:val="center"/>
          </w:tcPr>
          <w:p w:rsidR="005A0BE4" w:rsidRPr="002044E0" w:rsidRDefault="005A0BE4" w:rsidP="005A0BE4">
            <w:pPr>
              <w:spacing w:after="0"/>
              <w:jc w:val="center"/>
              <w:rPr>
                <w:sz w:val="16"/>
                <w:szCs w:val="16"/>
              </w:rPr>
            </w:pPr>
            <w:r w:rsidRPr="002044E0">
              <w:rPr>
                <w:sz w:val="16"/>
                <w:szCs w:val="16"/>
              </w:rPr>
              <w:t>Tache en hydrocarbures</w:t>
            </w:r>
          </w:p>
        </w:tc>
        <w:tc>
          <w:tcPr>
            <w:tcW w:w="3194" w:type="dxa"/>
            <w:tcBorders>
              <w:top w:val="single" w:sz="4" w:space="0" w:color="auto"/>
            </w:tcBorders>
            <w:vAlign w:val="center"/>
          </w:tcPr>
          <w:p w:rsidR="005A0BE4" w:rsidRPr="005A0BE4" w:rsidRDefault="005A0BE4" w:rsidP="005A0BE4">
            <w:pPr>
              <w:spacing w:after="0"/>
              <w:jc w:val="center"/>
              <w:rPr>
                <w:sz w:val="16"/>
                <w:szCs w:val="16"/>
              </w:rPr>
            </w:pPr>
            <w:r w:rsidRPr="005A0BE4">
              <w:rPr>
                <w:sz w:val="16"/>
                <w:szCs w:val="16"/>
              </w:rPr>
              <w:t>assainissement non</w:t>
            </w:r>
            <w:r w:rsidR="001B0AD5">
              <w:rPr>
                <w:sz w:val="16"/>
                <w:szCs w:val="16"/>
              </w:rPr>
              <w:t xml:space="preserve"> requis</w:t>
            </w:r>
          </w:p>
        </w:tc>
        <w:tc>
          <w:tcPr>
            <w:tcW w:w="3194" w:type="dxa"/>
            <w:tcBorders>
              <w:top w:val="single" w:sz="4" w:space="0" w:color="auto"/>
            </w:tcBorders>
            <w:vAlign w:val="center"/>
          </w:tcPr>
          <w:p w:rsidR="005A0BE4" w:rsidRPr="005A0BE4" w:rsidRDefault="00BF2344" w:rsidP="005A0BE4">
            <w:pPr>
              <w:spacing w:after="0"/>
              <w:jc w:val="center"/>
              <w:rPr>
                <w:sz w:val="16"/>
                <w:szCs w:val="16"/>
              </w:rPr>
            </w:pPr>
            <w:r>
              <w:rPr>
                <w:sz w:val="16"/>
                <w:szCs w:val="16"/>
              </w:rPr>
              <w:t>/</w:t>
            </w:r>
          </w:p>
        </w:tc>
      </w:tr>
    </w:tbl>
    <w:p w:rsidR="009C2292" w:rsidRDefault="009C2292" w:rsidP="00A11C08">
      <w:pPr>
        <w:pStyle w:val="Corpsdetexte"/>
        <w:spacing w:after="60"/>
        <w:rPr>
          <w:i/>
          <w:iCs/>
        </w:rPr>
      </w:pPr>
    </w:p>
    <w:p w:rsidR="004E1CE9" w:rsidRPr="008217D5" w:rsidRDefault="004E1CE9" w:rsidP="00A11C08">
      <w:pPr>
        <w:pStyle w:val="Corpsdetexte"/>
        <w:spacing w:after="60"/>
      </w:pPr>
      <w:r>
        <w:rPr>
          <w:i/>
          <w:iCs/>
        </w:rPr>
        <w:t xml:space="preserve">Tableau </w:t>
      </w:r>
      <w:r>
        <w:t xml:space="preserve">13 </w:t>
      </w:r>
      <w:r>
        <w:rPr>
          <w:i/>
          <w:iCs/>
        </w:rPr>
        <w:t>: Globalisation des résultats pour la base d’évaluation retenue</w:t>
      </w:r>
      <w:r w:rsidR="005A0BE4">
        <w:rPr>
          <w:i/>
          <w:iCs/>
        </w:rPr>
        <w:t xml:space="preserve"> (</w:t>
      </w:r>
      <w:r w:rsidR="001B0AD5">
        <w:rPr>
          <w:i/>
          <w:iCs/>
        </w:rPr>
        <w:t xml:space="preserve">usage </w:t>
      </w:r>
      <w:r w:rsidR="005A0BE4">
        <w:rPr>
          <w:i/>
          <w:iCs/>
        </w:rPr>
        <w:t xml:space="preserve">projeté </w:t>
      </w:r>
      <w:r w:rsidR="001B0AD5">
        <w:rPr>
          <w:i/>
          <w:iCs/>
        </w:rPr>
        <w:t xml:space="preserve">- </w:t>
      </w:r>
      <w:r w:rsidR="005A0BE4">
        <w:rPr>
          <w:i/>
          <w:iCs/>
        </w:rPr>
        <w:t>résidentiel)</w:t>
      </w:r>
    </w:p>
    <w:p w:rsidR="00D91007" w:rsidRDefault="00D91007" w:rsidP="00A11C08">
      <w:pPr>
        <w:pStyle w:val="Corpsdetexte"/>
        <w:spacing w:after="60"/>
      </w:pPr>
    </w:p>
    <w:p w:rsidR="00A11C08" w:rsidRPr="009C2292" w:rsidRDefault="00D91007" w:rsidP="00A11C08">
      <w:pPr>
        <w:pStyle w:val="Corpsdetexte"/>
        <w:spacing w:after="60"/>
        <w:rPr>
          <w:strike/>
        </w:rPr>
      </w:pPr>
      <w:r w:rsidRPr="009C2292">
        <w:rPr>
          <w:strike/>
        </w:rPr>
        <w:t>CARTES ET PLANS</w:t>
      </w:r>
    </w:p>
    <w:p w:rsidR="00D91007" w:rsidRPr="009C2292" w:rsidRDefault="00D91007" w:rsidP="00D91007">
      <w:pPr>
        <w:pStyle w:val="Corpsdetexte"/>
        <w:spacing w:after="0"/>
        <w:rPr>
          <w:strike/>
        </w:rPr>
      </w:pPr>
      <w:r w:rsidRPr="009C2292">
        <w:rPr>
          <w:strike/>
        </w:rPr>
        <w:t>Cartes et plans nécessaires à la compréhension du rapport.</w:t>
      </w:r>
    </w:p>
    <w:p w:rsidR="00D91007" w:rsidRPr="009C2292" w:rsidRDefault="00D91007" w:rsidP="00A11C08">
      <w:pPr>
        <w:pStyle w:val="Corpsdetexte"/>
        <w:spacing w:after="60"/>
        <w:rPr>
          <w:strike/>
        </w:rPr>
      </w:pPr>
    </w:p>
    <w:p w:rsidR="00A11C08" w:rsidRPr="009C2292" w:rsidRDefault="00D91007" w:rsidP="00A11C08">
      <w:pPr>
        <w:pStyle w:val="Corpsdetexte"/>
        <w:spacing w:after="60"/>
        <w:rPr>
          <w:strike/>
        </w:rPr>
      </w:pPr>
      <w:r w:rsidRPr="009C2292">
        <w:rPr>
          <w:strike/>
        </w:rPr>
        <w:t>ANNEXES</w:t>
      </w:r>
    </w:p>
    <w:p w:rsidR="00D91007" w:rsidRPr="009C2292" w:rsidRDefault="00D91007" w:rsidP="00D91007">
      <w:pPr>
        <w:pStyle w:val="Default"/>
        <w:rPr>
          <w:strike/>
          <w:sz w:val="20"/>
          <w:szCs w:val="20"/>
        </w:rPr>
      </w:pPr>
      <w:r w:rsidRPr="009C2292">
        <w:rPr>
          <w:strike/>
          <w:sz w:val="20"/>
          <w:szCs w:val="20"/>
        </w:rPr>
        <w:t>Annexe ESR-1 (facultative</w:t>
      </w:r>
      <w:r w:rsidRPr="009C2292">
        <w:rPr>
          <w:strike/>
          <w:sz w:val="13"/>
          <w:szCs w:val="13"/>
        </w:rPr>
        <w:t>1</w:t>
      </w:r>
      <w:r w:rsidRPr="009C2292">
        <w:rPr>
          <w:strike/>
          <w:sz w:val="20"/>
          <w:szCs w:val="20"/>
        </w:rPr>
        <w:t xml:space="preserve">): Caractérisation géostatistique des polluants pour l’évaluation des risques. </w:t>
      </w:r>
    </w:p>
    <w:p w:rsidR="00D91007" w:rsidRPr="009C2292" w:rsidRDefault="00D91007" w:rsidP="00D91007">
      <w:pPr>
        <w:pStyle w:val="Default"/>
        <w:rPr>
          <w:strike/>
          <w:sz w:val="20"/>
          <w:szCs w:val="20"/>
        </w:rPr>
      </w:pPr>
    </w:p>
    <w:p w:rsidR="00D91007" w:rsidRPr="009C2292" w:rsidRDefault="00D91007" w:rsidP="00D91007">
      <w:pPr>
        <w:pStyle w:val="Default"/>
        <w:rPr>
          <w:strike/>
          <w:sz w:val="20"/>
          <w:szCs w:val="20"/>
        </w:rPr>
      </w:pPr>
      <w:r w:rsidRPr="009C2292">
        <w:rPr>
          <w:strike/>
          <w:sz w:val="20"/>
          <w:szCs w:val="20"/>
        </w:rPr>
        <w:t>Annexes ESR-2 : L’expert regroupe ici les synthèses/documents générés par les outils informatiques (</w:t>
      </w:r>
      <w:proofErr w:type="spellStart"/>
      <w:r w:rsidRPr="009C2292">
        <w:rPr>
          <w:strike/>
          <w:sz w:val="20"/>
          <w:szCs w:val="20"/>
        </w:rPr>
        <w:t>ESR.xlms</w:t>
      </w:r>
      <w:proofErr w:type="spellEnd"/>
      <w:r w:rsidRPr="009C2292">
        <w:rPr>
          <w:strike/>
          <w:sz w:val="20"/>
          <w:szCs w:val="20"/>
        </w:rPr>
        <w:t xml:space="preserve">, BIOSCREEN.xls, BIOCHLOR.xls) : </w:t>
      </w:r>
    </w:p>
    <w:p w:rsidR="00D91007" w:rsidRPr="009C2292" w:rsidRDefault="00D91007" w:rsidP="00D91007">
      <w:pPr>
        <w:pStyle w:val="Default"/>
        <w:rPr>
          <w:strike/>
          <w:sz w:val="20"/>
          <w:szCs w:val="20"/>
        </w:rPr>
      </w:pPr>
    </w:p>
    <w:p w:rsidR="00D91007" w:rsidRPr="009C2292" w:rsidRDefault="00D91007" w:rsidP="00D91007">
      <w:pPr>
        <w:pStyle w:val="Default"/>
        <w:numPr>
          <w:ilvl w:val="0"/>
          <w:numId w:val="46"/>
        </w:numPr>
        <w:rPr>
          <w:strike/>
          <w:sz w:val="20"/>
          <w:szCs w:val="20"/>
        </w:rPr>
      </w:pPr>
      <w:r w:rsidRPr="009C2292">
        <w:rPr>
          <w:strike/>
          <w:sz w:val="20"/>
          <w:szCs w:val="20"/>
        </w:rPr>
        <w:t>pour le volet santé humaine - ESR-SH : comparaison aux concentrations représentatives de la matrice sol aux VS</w:t>
      </w:r>
      <w:r w:rsidRPr="009C2292">
        <w:rPr>
          <w:strike/>
          <w:sz w:val="13"/>
          <w:szCs w:val="13"/>
        </w:rPr>
        <w:t xml:space="preserve">H </w:t>
      </w:r>
      <w:r w:rsidRPr="009C2292">
        <w:rPr>
          <w:strike/>
          <w:sz w:val="20"/>
          <w:szCs w:val="20"/>
        </w:rPr>
        <w:t xml:space="preserve">; </w:t>
      </w:r>
    </w:p>
    <w:p w:rsidR="00D91007" w:rsidRPr="009C2292" w:rsidRDefault="00D91007" w:rsidP="00D91007">
      <w:pPr>
        <w:pStyle w:val="Default"/>
        <w:rPr>
          <w:strike/>
          <w:sz w:val="20"/>
          <w:szCs w:val="20"/>
        </w:rPr>
      </w:pPr>
    </w:p>
    <w:p w:rsidR="00D91007" w:rsidRPr="009C2292" w:rsidRDefault="00D91007" w:rsidP="00D91007">
      <w:pPr>
        <w:pStyle w:val="Default"/>
        <w:numPr>
          <w:ilvl w:val="0"/>
          <w:numId w:val="46"/>
        </w:numPr>
        <w:rPr>
          <w:strike/>
          <w:sz w:val="20"/>
          <w:szCs w:val="20"/>
        </w:rPr>
      </w:pPr>
      <w:r w:rsidRPr="009C2292">
        <w:rPr>
          <w:strike/>
          <w:sz w:val="20"/>
          <w:szCs w:val="20"/>
        </w:rPr>
        <w:t xml:space="preserve">pour le volet nappes – ESR – N : </w:t>
      </w:r>
    </w:p>
    <w:p w:rsidR="00D91007" w:rsidRPr="009C2292" w:rsidRDefault="00D91007" w:rsidP="00D91007">
      <w:pPr>
        <w:pStyle w:val="Default"/>
        <w:numPr>
          <w:ilvl w:val="0"/>
          <w:numId w:val="45"/>
        </w:numPr>
        <w:ind w:left="1134"/>
        <w:rPr>
          <w:strike/>
          <w:sz w:val="20"/>
          <w:szCs w:val="20"/>
        </w:rPr>
      </w:pPr>
      <w:r w:rsidRPr="009C2292">
        <w:rPr>
          <w:strike/>
          <w:sz w:val="20"/>
          <w:szCs w:val="20"/>
        </w:rPr>
        <w:t xml:space="preserve">ESR-N lessivage – partie 1 (sans considération du temps) : </w:t>
      </w:r>
    </w:p>
    <w:p w:rsidR="00D91007" w:rsidRPr="009C2292" w:rsidRDefault="00D91007" w:rsidP="00D91007">
      <w:pPr>
        <w:pStyle w:val="Default"/>
        <w:ind w:left="1134"/>
        <w:rPr>
          <w:strike/>
          <w:sz w:val="20"/>
          <w:szCs w:val="20"/>
        </w:rPr>
      </w:pPr>
    </w:p>
    <w:p w:rsidR="00D91007" w:rsidRPr="009C2292" w:rsidRDefault="00D91007" w:rsidP="00D91007">
      <w:pPr>
        <w:pStyle w:val="Default"/>
        <w:ind w:left="1134"/>
        <w:rPr>
          <w:strike/>
          <w:sz w:val="20"/>
          <w:szCs w:val="20"/>
        </w:rPr>
      </w:pPr>
      <w:r w:rsidRPr="009C2292">
        <w:rPr>
          <w:strike/>
          <w:sz w:val="20"/>
          <w:szCs w:val="20"/>
        </w:rPr>
        <w:t xml:space="preserve">Valeurs des paramètres retenus pour l’ajustement des VSN et VIN ; </w:t>
      </w:r>
    </w:p>
    <w:p w:rsidR="00D91007" w:rsidRPr="009C2292" w:rsidRDefault="00D91007" w:rsidP="00D91007">
      <w:pPr>
        <w:pStyle w:val="Default"/>
        <w:ind w:left="1134"/>
        <w:rPr>
          <w:strike/>
          <w:sz w:val="20"/>
          <w:szCs w:val="20"/>
        </w:rPr>
      </w:pPr>
      <w:r w:rsidRPr="009C2292">
        <w:rPr>
          <w:strike/>
          <w:sz w:val="20"/>
          <w:szCs w:val="20"/>
        </w:rPr>
        <w:t>Ajustement des VSN-VIN -&gt; VSN-</w:t>
      </w:r>
      <w:proofErr w:type="spellStart"/>
      <w:r w:rsidRPr="009C2292">
        <w:rPr>
          <w:strike/>
          <w:sz w:val="20"/>
          <w:szCs w:val="20"/>
        </w:rPr>
        <w:t>aj</w:t>
      </w:r>
      <w:proofErr w:type="spellEnd"/>
      <w:r w:rsidRPr="009C2292">
        <w:rPr>
          <w:strike/>
          <w:sz w:val="20"/>
          <w:szCs w:val="20"/>
        </w:rPr>
        <w:t xml:space="preserve">. </w:t>
      </w:r>
      <w:proofErr w:type="gramStart"/>
      <w:r w:rsidRPr="009C2292">
        <w:rPr>
          <w:strike/>
          <w:sz w:val="20"/>
          <w:szCs w:val="20"/>
        </w:rPr>
        <w:t>et</w:t>
      </w:r>
      <w:proofErr w:type="gramEnd"/>
      <w:r w:rsidRPr="009C2292">
        <w:rPr>
          <w:strike/>
          <w:sz w:val="20"/>
          <w:szCs w:val="20"/>
        </w:rPr>
        <w:t xml:space="preserve"> VIN-</w:t>
      </w:r>
      <w:proofErr w:type="spellStart"/>
      <w:r w:rsidRPr="009C2292">
        <w:rPr>
          <w:strike/>
          <w:sz w:val="20"/>
          <w:szCs w:val="20"/>
        </w:rPr>
        <w:t>aj</w:t>
      </w:r>
      <w:proofErr w:type="spellEnd"/>
      <w:r w:rsidRPr="009C2292">
        <w:rPr>
          <w:strike/>
          <w:sz w:val="20"/>
          <w:szCs w:val="20"/>
        </w:rPr>
        <w:t xml:space="preserve">. </w:t>
      </w:r>
      <w:proofErr w:type="gramStart"/>
      <w:r w:rsidRPr="009C2292">
        <w:rPr>
          <w:strike/>
          <w:sz w:val="20"/>
          <w:szCs w:val="20"/>
        </w:rPr>
        <w:t>et</w:t>
      </w:r>
      <w:proofErr w:type="gramEnd"/>
      <w:r w:rsidRPr="009C2292">
        <w:rPr>
          <w:strike/>
          <w:sz w:val="20"/>
          <w:szCs w:val="20"/>
        </w:rPr>
        <w:t xml:space="preserve"> comparaison aux concentrations représentatives de la matrice sol ; Calcul de la CBRN (cas nappe non exploitable) ; </w:t>
      </w:r>
    </w:p>
    <w:p w:rsidR="00D91007" w:rsidRPr="009C2292" w:rsidRDefault="00D91007" w:rsidP="00D91007">
      <w:pPr>
        <w:pStyle w:val="Default"/>
        <w:numPr>
          <w:ilvl w:val="0"/>
          <w:numId w:val="45"/>
        </w:numPr>
        <w:ind w:left="1134"/>
        <w:rPr>
          <w:strike/>
          <w:sz w:val="20"/>
          <w:szCs w:val="20"/>
        </w:rPr>
      </w:pPr>
      <w:r w:rsidRPr="009C2292">
        <w:rPr>
          <w:strike/>
          <w:sz w:val="20"/>
          <w:szCs w:val="20"/>
        </w:rPr>
        <w:t xml:space="preserve">ESR-N lessivage – partie 2 (avec considération du temps) ; </w:t>
      </w:r>
    </w:p>
    <w:p w:rsidR="00D91007" w:rsidRPr="009C2292" w:rsidRDefault="00D91007" w:rsidP="00D91007">
      <w:pPr>
        <w:pStyle w:val="Default"/>
        <w:ind w:left="1134"/>
        <w:rPr>
          <w:strike/>
          <w:sz w:val="20"/>
          <w:szCs w:val="20"/>
        </w:rPr>
      </w:pPr>
    </w:p>
    <w:p w:rsidR="00D91007" w:rsidRPr="009C2292" w:rsidRDefault="00D91007" w:rsidP="00D91007">
      <w:pPr>
        <w:pStyle w:val="Default"/>
        <w:ind w:left="1134"/>
        <w:rPr>
          <w:strike/>
          <w:sz w:val="20"/>
          <w:szCs w:val="20"/>
        </w:rPr>
      </w:pPr>
      <w:r w:rsidRPr="009C2292">
        <w:rPr>
          <w:strike/>
          <w:sz w:val="20"/>
          <w:szCs w:val="20"/>
        </w:rPr>
        <w:t xml:space="preserve">Temps de résidence du polluant dans la zone </w:t>
      </w:r>
      <w:proofErr w:type="spellStart"/>
      <w:r w:rsidRPr="009C2292">
        <w:rPr>
          <w:strike/>
          <w:sz w:val="20"/>
          <w:szCs w:val="20"/>
        </w:rPr>
        <w:t>vadose</w:t>
      </w:r>
      <w:proofErr w:type="spellEnd"/>
      <w:r w:rsidRPr="009C2292">
        <w:rPr>
          <w:strike/>
          <w:sz w:val="20"/>
          <w:szCs w:val="20"/>
        </w:rPr>
        <w:t xml:space="preserve"> ; </w:t>
      </w:r>
    </w:p>
    <w:p w:rsidR="00D91007" w:rsidRPr="009C2292" w:rsidRDefault="00D91007" w:rsidP="00D91007">
      <w:pPr>
        <w:pStyle w:val="Default"/>
        <w:numPr>
          <w:ilvl w:val="0"/>
          <w:numId w:val="45"/>
        </w:numPr>
        <w:ind w:left="1134"/>
        <w:rPr>
          <w:strike/>
          <w:sz w:val="20"/>
          <w:szCs w:val="20"/>
        </w:rPr>
      </w:pPr>
      <w:r w:rsidRPr="009C2292">
        <w:rPr>
          <w:strike/>
          <w:sz w:val="20"/>
          <w:szCs w:val="20"/>
        </w:rPr>
        <w:t xml:space="preserve">ESR-N dispersion – partie 1 (sans considération du temps) : </w:t>
      </w:r>
    </w:p>
    <w:p w:rsidR="00D91007" w:rsidRPr="009C2292" w:rsidRDefault="00D91007" w:rsidP="00D91007">
      <w:pPr>
        <w:pStyle w:val="Default"/>
        <w:ind w:left="1134"/>
        <w:rPr>
          <w:strike/>
          <w:sz w:val="20"/>
          <w:szCs w:val="20"/>
        </w:rPr>
      </w:pPr>
    </w:p>
    <w:p w:rsidR="00D91007" w:rsidRPr="009C2292" w:rsidRDefault="00D91007" w:rsidP="00D91007">
      <w:pPr>
        <w:pStyle w:val="Default"/>
        <w:ind w:left="1134"/>
        <w:rPr>
          <w:strike/>
          <w:sz w:val="20"/>
          <w:szCs w:val="20"/>
        </w:rPr>
      </w:pPr>
      <w:r w:rsidRPr="009C2292">
        <w:rPr>
          <w:strike/>
          <w:sz w:val="20"/>
          <w:szCs w:val="20"/>
        </w:rPr>
        <w:t xml:space="preserve">Comparaison des concentrations représentatives de la matrice eaux souterraines aux </w:t>
      </w:r>
      <w:proofErr w:type="spellStart"/>
      <w:r w:rsidRPr="009C2292">
        <w:rPr>
          <w:strike/>
          <w:sz w:val="20"/>
          <w:szCs w:val="20"/>
        </w:rPr>
        <w:t>VSnappe</w:t>
      </w:r>
      <w:proofErr w:type="spellEnd"/>
      <w:r w:rsidRPr="009C2292">
        <w:rPr>
          <w:strike/>
          <w:sz w:val="20"/>
          <w:szCs w:val="20"/>
        </w:rPr>
        <w:t>/</w:t>
      </w:r>
      <w:proofErr w:type="spellStart"/>
      <w:r w:rsidRPr="009C2292">
        <w:rPr>
          <w:strike/>
          <w:sz w:val="20"/>
          <w:szCs w:val="20"/>
        </w:rPr>
        <w:t>VInappe</w:t>
      </w:r>
      <w:proofErr w:type="spellEnd"/>
      <w:r w:rsidRPr="009C2292">
        <w:rPr>
          <w:strike/>
          <w:sz w:val="20"/>
          <w:szCs w:val="20"/>
        </w:rPr>
        <w:t xml:space="preserve"> ; </w:t>
      </w:r>
    </w:p>
    <w:p w:rsidR="00D91007" w:rsidRPr="009C2292" w:rsidRDefault="00D91007" w:rsidP="00D91007">
      <w:pPr>
        <w:pStyle w:val="Default"/>
        <w:numPr>
          <w:ilvl w:val="0"/>
          <w:numId w:val="45"/>
        </w:numPr>
        <w:ind w:left="1134"/>
        <w:rPr>
          <w:strike/>
          <w:sz w:val="20"/>
          <w:szCs w:val="20"/>
        </w:rPr>
      </w:pPr>
      <w:r w:rsidRPr="009C2292">
        <w:rPr>
          <w:strike/>
          <w:sz w:val="20"/>
          <w:szCs w:val="20"/>
        </w:rPr>
        <w:t xml:space="preserve">ESR-N dispersion – partie 2 (avec considération du temps) : </w:t>
      </w:r>
    </w:p>
    <w:p w:rsidR="00D91007" w:rsidRPr="009C2292" w:rsidRDefault="00D91007" w:rsidP="00D91007">
      <w:pPr>
        <w:pStyle w:val="Default"/>
        <w:rPr>
          <w:strike/>
          <w:sz w:val="20"/>
          <w:szCs w:val="20"/>
        </w:rPr>
      </w:pPr>
    </w:p>
    <w:p w:rsidR="00D91007" w:rsidRPr="009C2292" w:rsidRDefault="00D91007" w:rsidP="00D91007">
      <w:pPr>
        <w:pStyle w:val="Default"/>
        <w:ind w:left="1134"/>
        <w:rPr>
          <w:strike/>
          <w:sz w:val="20"/>
          <w:szCs w:val="20"/>
        </w:rPr>
      </w:pPr>
      <w:r w:rsidRPr="009C2292">
        <w:rPr>
          <w:strike/>
          <w:sz w:val="20"/>
          <w:szCs w:val="20"/>
        </w:rPr>
        <w:t xml:space="preserve">Valeur des paramètres nécessaires à l’application BIOSCREEN pour appréhender la dispersion des pollutions identifiées dans l’eau souterraine et résultats obtenus pour une durée de 100 ans. L’expert fournit une copie d’écran des valeurs encodées et des résultats </w:t>
      </w:r>
    </w:p>
    <w:p w:rsidR="00D91007" w:rsidRPr="009C2292" w:rsidRDefault="00D91007" w:rsidP="00D91007">
      <w:pPr>
        <w:pStyle w:val="Default"/>
        <w:rPr>
          <w:strike/>
          <w:sz w:val="20"/>
          <w:szCs w:val="20"/>
        </w:rPr>
      </w:pPr>
    </w:p>
    <w:p w:rsidR="00D91007" w:rsidRPr="009C2292" w:rsidRDefault="00D91007" w:rsidP="00D91007">
      <w:pPr>
        <w:pStyle w:val="Default"/>
        <w:numPr>
          <w:ilvl w:val="0"/>
          <w:numId w:val="46"/>
        </w:numPr>
        <w:rPr>
          <w:strike/>
          <w:sz w:val="20"/>
          <w:szCs w:val="20"/>
        </w:rPr>
      </w:pPr>
      <w:r w:rsidRPr="009C2292">
        <w:rPr>
          <w:strike/>
          <w:sz w:val="20"/>
          <w:szCs w:val="20"/>
        </w:rPr>
        <w:t>pour le volet écosystèmes - ESR-E : comparaison aux concentrations représentatives de la matrice sol aux VS</w:t>
      </w:r>
      <w:r w:rsidRPr="009C2292">
        <w:rPr>
          <w:strike/>
          <w:sz w:val="13"/>
          <w:szCs w:val="13"/>
        </w:rPr>
        <w:t>E</w:t>
      </w:r>
      <w:r w:rsidRPr="009C2292">
        <w:rPr>
          <w:strike/>
          <w:sz w:val="20"/>
          <w:szCs w:val="20"/>
        </w:rPr>
        <w:t xml:space="preserve">. </w:t>
      </w:r>
    </w:p>
    <w:p w:rsidR="00D91007" w:rsidRPr="009C2292" w:rsidRDefault="00D91007" w:rsidP="00D91007">
      <w:pPr>
        <w:pStyle w:val="Default"/>
        <w:rPr>
          <w:strike/>
          <w:sz w:val="20"/>
          <w:szCs w:val="20"/>
        </w:rPr>
      </w:pPr>
    </w:p>
    <w:p w:rsidR="00D91007" w:rsidRPr="009C2292" w:rsidRDefault="00D91007" w:rsidP="00D91007">
      <w:pPr>
        <w:pStyle w:val="Default"/>
        <w:rPr>
          <w:strike/>
          <w:sz w:val="20"/>
          <w:szCs w:val="20"/>
        </w:rPr>
      </w:pPr>
      <w:r w:rsidRPr="009C2292">
        <w:rPr>
          <w:strike/>
          <w:sz w:val="20"/>
          <w:szCs w:val="20"/>
        </w:rPr>
        <w:t xml:space="preserve">Annexes EDR-SH : [sans objet si EDR-N non requise] rapport généré par S-Risk© version wallonne au format </w:t>
      </w:r>
      <w:proofErr w:type="spellStart"/>
      <w:r w:rsidRPr="009C2292">
        <w:rPr>
          <w:strike/>
          <w:sz w:val="20"/>
          <w:szCs w:val="20"/>
        </w:rPr>
        <w:t>pdf</w:t>
      </w:r>
      <w:proofErr w:type="spellEnd"/>
      <w:r w:rsidRPr="009C2292">
        <w:rPr>
          <w:strike/>
          <w:sz w:val="20"/>
          <w:szCs w:val="20"/>
        </w:rPr>
        <w:t xml:space="preserve">, incluant le détail et le résumé des résultats. </w:t>
      </w:r>
    </w:p>
    <w:p w:rsidR="00D91007" w:rsidRPr="009C2292" w:rsidRDefault="00D91007" w:rsidP="00D91007">
      <w:pPr>
        <w:pStyle w:val="Default"/>
        <w:rPr>
          <w:strike/>
          <w:sz w:val="20"/>
          <w:szCs w:val="20"/>
        </w:rPr>
      </w:pPr>
    </w:p>
    <w:p w:rsidR="00D91007" w:rsidRPr="009C2292" w:rsidRDefault="00D91007" w:rsidP="00D91007">
      <w:pPr>
        <w:pStyle w:val="Default"/>
        <w:rPr>
          <w:strike/>
          <w:sz w:val="20"/>
          <w:szCs w:val="20"/>
        </w:rPr>
      </w:pPr>
      <w:r w:rsidRPr="009C2292">
        <w:rPr>
          <w:strike/>
          <w:sz w:val="20"/>
          <w:szCs w:val="20"/>
        </w:rPr>
        <w:t xml:space="preserve">Annexes EDR-N : [sans objet si EDR-N non requise]. </w:t>
      </w:r>
    </w:p>
    <w:p w:rsidR="00D91007" w:rsidRPr="009C2292" w:rsidRDefault="00D91007" w:rsidP="00D91007">
      <w:pPr>
        <w:spacing w:after="0"/>
        <w:rPr>
          <w:strike/>
        </w:rPr>
      </w:pPr>
    </w:p>
    <w:p w:rsidR="002F6B08" w:rsidRPr="009C2292" w:rsidRDefault="00D91007" w:rsidP="00D91007">
      <w:pPr>
        <w:rPr>
          <w:strike/>
        </w:rPr>
      </w:pPr>
      <w:r w:rsidRPr="009C2292">
        <w:rPr>
          <w:strike/>
        </w:rPr>
        <w:t>Annexes EDR-E : [sans objet si EDR-E non requise].</w:t>
      </w:r>
    </w:p>
    <w:sectPr w:rsidR="002F6B08" w:rsidRPr="009C2292" w:rsidSect="009D121E">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97E" w:rsidRDefault="0069697E" w:rsidP="00246F9C">
      <w:pPr>
        <w:spacing w:after="0"/>
      </w:pPr>
      <w:r>
        <w:separator/>
      </w:r>
    </w:p>
  </w:endnote>
  <w:endnote w:type="continuationSeparator" w:id="0">
    <w:p w:rsidR="0069697E" w:rsidRDefault="0069697E" w:rsidP="00246F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7E" w:rsidRPr="00246F9C" w:rsidRDefault="0069697E" w:rsidP="00246F9C">
    <w:pPr>
      <w:pStyle w:val="Pieddepage"/>
      <w:rPr>
        <w:sz w:val="18"/>
        <w:szCs w:val="18"/>
      </w:rPr>
    </w:pPr>
    <w:r>
      <w:rPr>
        <w:sz w:val="18"/>
        <w:szCs w:val="18"/>
      </w:rPr>
      <w:t>Formation EDR-SH 12 et 19 juin 2017</w:t>
    </w:r>
    <w:r>
      <w:rPr>
        <w:sz w:val="18"/>
        <w:szCs w:val="18"/>
      </w:rPr>
      <w:tab/>
    </w:r>
    <w:r>
      <w:rPr>
        <w:sz w:val="18"/>
        <w:szCs w:val="18"/>
      </w:rPr>
      <w:tab/>
      <w:t xml:space="preserve">Rapportage – page </w:t>
    </w:r>
    <w:r w:rsidRPr="003173DE">
      <w:rPr>
        <w:sz w:val="18"/>
        <w:szCs w:val="18"/>
      </w:rPr>
      <w:fldChar w:fldCharType="begin"/>
    </w:r>
    <w:r w:rsidRPr="003173DE">
      <w:rPr>
        <w:sz w:val="18"/>
        <w:szCs w:val="18"/>
      </w:rPr>
      <w:instrText xml:space="preserve"> PAGE   \* MERGEFORMAT </w:instrText>
    </w:r>
    <w:r w:rsidRPr="003173DE">
      <w:rPr>
        <w:sz w:val="18"/>
        <w:szCs w:val="18"/>
      </w:rPr>
      <w:fldChar w:fldCharType="separate"/>
    </w:r>
    <w:r w:rsidR="00574F92">
      <w:rPr>
        <w:noProof/>
        <w:sz w:val="18"/>
        <w:szCs w:val="18"/>
      </w:rPr>
      <w:t>14</w:t>
    </w:r>
    <w:r w:rsidRPr="003173D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97E" w:rsidRDefault="0069697E" w:rsidP="00246F9C">
      <w:pPr>
        <w:spacing w:after="0"/>
      </w:pPr>
      <w:r>
        <w:separator/>
      </w:r>
    </w:p>
  </w:footnote>
  <w:footnote w:type="continuationSeparator" w:id="0">
    <w:p w:rsidR="0069697E" w:rsidRDefault="0069697E" w:rsidP="00246F9C">
      <w:pPr>
        <w:spacing w:after="0"/>
      </w:pPr>
      <w:r>
        <w:continuationSeparator/>
      </w:r>
    </w:p>
  </w:footnote>
  <w:footnote w:id="1">
    <w:p w:rsidR="0069697E" w:rsidRDefault="0069697E" w:rsidP="0075172B">
      <w:pPr>
        <w:pStyle w:val="Corpsdetexte"/>
        <w:spacing w:after="60"/>
      </w:pPr>
      <w:r>
        <w:rPr>
          <w:rStyle w:val="Appelnotedebasdep"/>
        </w:rPr>
        <w:footnoteRef/>
      </w:r>
      <w:r>
        <w:t xml:space="preserve"> Dans l’hypothèse où le projet d’aménagement ultérieur  nécessite de détruire la dalle de béton, un PA sera requis.</w:t>
      </w:r>
    </w:p>
  </w:footnote>
  <w:footnote w:id="2">
    <w:p w:rsidR="0069697E" w:rsidRDefault="0069697E">
      <w:pPr>
        <w:pStyle w:val="Notedebasdepage"/>
      </w:pPr>
      <w:r>
        <w:rPr>
          <w:rStyle w:val="Appelnotedebasdep"/>
        </w:rPr>
        <w:footnoteRef/>
      </w:r>
      <w:r>
        <w:t xml:space="preserve"> À noter que dans le cas présent si il n’y a pas nécessité d’assainir, le rapportage de cette base peut être évité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F4C"/>
    <w:multiLevelType w:val="hybridMultilevel"/>
    <w:tmpl w:val="16D64E8C"/>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22B3CF8"/>
    <w:multiLevelType w:val="multilevel"/>
    <w:tmpl w:val="80769C0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128646E9"/>
    <w:multiLevelType w:val="hybridMultilevel"/>
    <w:tmpl w:val="37F645B2"/>
    <w:lvl w:ilvl="0" w:tplc="55D688EC">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65C75DD"/>
    <w:multiLevelType w:val="hybridMultilevel"/>
    <w:tmpl w:val="34F880FE"/>
    <w:lvl w:ilvl="0" w:tplc="080C0001">
      <w:start w:val="1"/>
      <w:numFmt w:val="bullet"/>
      <w:lvlText w:val=""/>
      <w:lvlJc w:val="left"/>
      <w:pPr>
        <w:ind w:left="766" w:hanging="360"/>
      </w:pPr>
      <w:rPr>
        <w:rFonts w:ascii="Symbol" w:hAnsi="Symbol" w:hint="default"/>
      </w:rPr>
    </w:lvl>
    <w:lvl w:ilvl="1" w:tplc="080C0003" w:tentative="1">
      <w:start w:val="1"/>
      <w:numFmt w:val="bullet"/>
      <w:lvlText w:val="o"/>
      <w:lvlJc w:val="left"/>
      <w:pPr>
        <w:ind w:left="1486" w:hanging="360"/>
      </w:pPr>
      <w:rPr>
        <w:rFonts w:ascii="Courier New" w:hAnsi="Courier New" w:cs="Courier New" w:hint="default"/>
      </w:rPr>
    </w:lvl>
    <w:lvl w:ilvl="2" w:tplc="080C0005" w:tentative="1">
      <w:start w:val="1"/>
      <w:numFmt w:val="bullet"/>
      <w:lvlText w:val=""/>
      <w:lvlJc w:val="left"/>
      <w:pPr>
        <w:ind w:left="2206" w:hanging="360"/>
      </w:pPr>
      <w:rPr>
        <w:rFonts w:ascii="Wingdings" w:hAnsi="Wingdings"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abstractNum w:abstractNumId="4">
    <w:nsid w:val="248003C1"/>
    <w:multiLevelType w:val="hybridMultilevel"/>
    <w:tmpl w:val="5BB45EEE"/>
    <w:lvl w:ilvl="0" w:tplc="55D688EC">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0757E01"/>
    <w:multiLevelType w:val="hybridMultilevel"/>
    <w:tmpl w:val="E35015AE"/>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BBE7A12"/>
    <w:multiLevelType w:val="hybridMultilevel"/>
    <w:tmpl w:val="F872C112"/>
    <w:lvl w:ilvl="0" w:tplc="9454D274">
      <w:start w:val="1"/>
      <w:numFmt w:val="bullet"/>
      <w:lvlText w:val="o"/>
      <w:lvlJc w:val="left"/>
      <w:pPr>
        <w:ind w:left="2280" w:hanging="360"/>
      </w:pPr>
      <w:rPr>
        <w:rFonts w:ascii="Courier New" w:hAnsi="Courier New" w:cs="Courier New" w:hint="default"/>
      </w:rPr>
    </w:lvl>
    <w:lvl w:ilvl="1" w:tplc="080C0003">
      <w:start w:val="1"/>
      <w:numFmt w:val="bullet"/>
      <w:lvlText w:val="o"/>
      <w:lvlJc w:val="left"/>
      <w:pPr>
        <w:ind w:left="3000" w:hanging="360"/>
      </w:pPr>
      <w:rPr>
        <w:rFonts w:ascii="Courier New" w:hAnsi="Courier New" w:cs="Courier New" w:hint="default"/>
      </w:rPr>
    </w:lvl>
    <w:lvl w:ilvl="2" w:tplc="080C0005">
      <w:start w:val="1"/>
      <w:numFmt w:val="bullet"/>
      <w:lvlText w:val=""/>
      <w:lvlJc w:val="left"/>
      <w:pPr>
        <w:ind w:left="3720" w:hanging="360"/>
      </w:pPr>
      <w:rPr>
        <w:rFonts w:ascii="Wingdings" w:hAnsi="Wingdings" w:hint="default"/>
      </w:rPr>
    </w:lvl>
    <w:lvl w:ilvl="3" w:tplc="080C0001" w:tentative="1">
      <w:start w:val="1"/>
      <w:numFmt w:val="bullet"/>
      <w:lvlText w:val=""/>
      <w:lvlJc w:val="left"/>
      <w:pPr>
        <w:ind w:left="4440" w:hanging="360"/>
      </w:pPr>
      <w:rPr>
        <w:rFonts w:ascii="Symbol" w:hAnsi="Symbol" w:hint="default"/>
      </w:rPr>
    </w:lvl>
    <w:lvl w:ilvl="4" w:tplc="080C0003" w:tentative="1">
      <w:start w:val="1"/>
      <w:numFmt w:val="bullet"/>
      <w:lvlText w:val="o"/>
      <w:lvlJc w:val="left"/>
      <w:pPr>
        <w:ind w:left="5160" w:hanging="360"/>
      </w:pPr>
      <w:rPr>
        <w:rFonts w:ascii="Courier New" w:hAnsi="Courier New" w:cs="Courier New" w:hint="default"/>
      </w:rPr>
    </w:lvl>
    <w:lvl w:ilvl="5" w:tplc="080C0005" w:tentative="1">
      <w:start w:val="1"/>
      <w:numFmt w:val="bullet"/>
      <w:lvlText w:val=""/>
      <w:lvlJc w:val="left"/>
      <w:pPr>
        <w:ind w:left="5880" w:hanging="360"/>
      </w:pPr>
      <w:rPr>
        <w:rFonts w:ascii="Wingdings" w:hAnsi="Wingdings" w:hint="default"/>
      </w:rPr>
    </w:lvl>
    <w:lvl w:ilvl="6" w:tplc="080C0001" w:tentative="1">
      <w:start w:val="1"/>
      <w:numFmt w:val="bullet"/>
      <w:lvlText w:val=""/>
      <w:lvlJc w:val="left"/>
      <w:pPr>
        <w:ind w:left="6600" w:hanging="360"/>
      </w:pPr>
      <w:rPr>
        <w:rFonts w:ascii="Symbol" w:hAnsi="Symbol" w:hint="default"/>
      </w:rPr>
    </w:lvl>
    <w:lvl w:ilvl="7" w:tplc="080C0003" w:tentative="1">
      <w:start w:val="1"/>
      <w:numFmt w:val="bullet"/>
      <w:lvlText w:val="o"/>
      <w:lvlJc w:val="left"/>
      <w:pPr>
        <w:ind w:left="7320" w:hanging="360"/>
      </w:pPr>
      <w:rPr>
        <w:rFonts w:ascii="Courier New" w:hAnsi="Courier New" w:cs="Courier New" w:hint="default"/>
      </w:rPr>
    </w:lvl>
    <w:lvl w:ilvl="8" w:tplc="080C0005" w:tentative="1">
      <w:start w:val="1"/>
      <w:numFmt w:val="bullet"/>
      <w:lvlText w:val=""/>
      <w:lvlJc w:val="left"/>
      <w:pPr>
        <w:ind w:left="8040" w:hanging="360"/>
      </w:pPr>
      <w:rPr>
        <w:rFonts w:ascii="Wingdings" w:hAnsi="Wingdings" w:hint="default"/>
      </w:rPr>
    </w:lvl>
  </w:abstractNum>
  <w:abstractNum w:abstractNumId="7">
    <w:nsid w:val="4FEC51BE"/>
    <w:multiLevelType w:val="multilevel"/>
    <w:tmpl w:val="890C33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571"/>
        </w:tabs>
        <w:ind w:left="1571" w:hanging="720"/>
      </w:pPr>
      <w:rPr>
        <w:rFonts w:hint="default"/>
        <w:lang w:val="fr-FR"/>
      </w:rPr>
    </w:lvl>
    <w:lvl w:ilvl="3">
      <w:start w:val="1"/>
      <w:numFmt w:val="upperLetter"/>
      <w:lvlText w:val="%1.%2.%3.%4."/>
      <w:lvlJc w:val="left"/>
      <w:pPr>
        <w:tabs>
          <w:tab w:val="num" w:pos="1290"/>
        </w:tabs>
        <w:ind w:left="1290" w:hanging="864"/>
      </w:pPr>
      <w:rPr>
        <w:rFonts w:hint="default"/>
      </w:rPr>
    </w:lvl>
    <w:lvl w:ilvl="4">
      <w:start w:val="1"/>
      <w:numFmt w:val="decimal"/>
      <w:lvlText w:val="%1.%2.%3.%4.%5."/>
      <w:lvlJc w:val="left"/>
      <w:pPr>
        <w:tabs>
          <w:tab w:val="num" w:pos="9372"/>
        </w:tabs>
        <w:ind w:left="9372" w:hanging="1008"/>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lvlText w:val="%1.%2.%3.%4.%5.%6."/>
      <w:lvlJc w:val="left"/>
      <w:pPr>
        <w:tabs>
          <w:tab w:val="num" w:pos="1578"/>
        </w:tabs>
        <w:ind w:left="1578" w:hanging="1152"/>
      </w:pPr>
      <w:rPr>
        <w:rFonts w:hint="default"/>
      </w:rPr>
    </w:lvl>
    <w:lvl w:ilvl="6">
      <w:start w:val="1"/>
      <w:numFmt w:val="lowerLetter"/>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0B33358"/>
    <w:multiLevelType w:val="hybridMultilevel"/>
    <w:tmpl w:val="0F9A0556"/>
    <w:lvl w:ilvl="0" w:tplc="7FB83F98">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9AB4516"/>
    <w:multiLevelType w:val="multilevel"/>
    <w:tmpl w:val="988253B2"/>
    <w:lvl w:ilvl="0">
      <w:start w:val="3"/>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pStyle w:val="Titre3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5DDC08BC"/>
    <w:multiLevelType w:val="hybridMultilevel"/>
    <w:tmpl w:val="332A3D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685A0633"/>
    <w:multiLevelType w:val="hybridMultilevel"/>
    <w:tmpl w:val="788CF8F0"/>
    <w:lvl w:ilvl="0" w:tplc="DC70378A">
      <w:start w:val="1"/>
      <w:numFmt w:val="bullet"/>
      <w:pStyle w:val="pucessouschapitres"/>
      <w:lvlText w:val=""/>
      <w:lvlJc w:val="left"/>
      <w:pPr>
        <w:ind w:left="502"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D983A25"/>
    <w:multiLevelType w:val="hybridMultilevel"/>
    <w:tmpl w:val="C2CA70A8"/>
    <w:lvl w:ilvl="0" w:tplc="55D688EC">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772E011D"/>
    <w:multiLevelType w:val="hybridMultilevel"/>
    <w:tmpl w:val="0E68073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9A33C97"/>
    <w:multiLevelType w:val="hybridMultilevel"/>
    <w:tmpl w:val="3FA640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6"/>
  </w:num>
  <w:num w:numId="5">
    <w:abstractNumId w:val="7"/>
  </w:num>
  <w:num w:numId="6">
    <w:abstractNumId w:val="7"/>
  </w:num>
  <w:num w:numId="7">
    <w:abstractNumId w:val="7"/>
  </w:num>
  <w:num w:numId="8">
    <w:abstractNumId w:val="7"/>
  </w:num>
  <w:num w:numId="9">
    <w:abstractNumId w:val="7"/>
  </w:num>
  <w:num w:numId="10">
    <w:abstractNumId w:val="11"/>
  </w:num>
  <w:num w:numId="11">
    <w:abstractNumId w:val="9"/>
  </w:num>
  <w:num w:numId="12">
    <w:abstractNumId w:val="7"/>
  </w:num>
  <w:num w:numId="13">
    <w:abstractNumId w:val="7"/>
  </w:num>
  <w:num w:numId="14">
    <w:abstractNumId w:val="7"/>
  </w:num>
  <w:num w:numId="15">
    <w:abstractNumId w:val="6"/>
  </w:num>
  <w:num w:numId="16">
    <w:abstractNumId w:val="7"/>
  </w:num>
  <w:num w:numId="17">
    <w:abstractNumId w:val="7"/>
  </w:num>
  <w:num w:numId="18">
    <w:abstractNumId w:val="7"/>
  </w:num>
  <w:num w:numId="19">
    <w:abstractNumId w:val="7"/>
  </w:num>
  <w:num w:numId="20">
    <w:abstractNumId w:val="7"/>
  </w:num>
  <w:num w:numId="21">
    <w:abstractNumId w:val="11"/>
  </w:num>
  <w:num w:numId="22">
    <w:abstractNumId w:val="9"/>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1"/>
  </w:num>
  <w:num w:numId="33">
    <w:abstractNumId w:val="9"/>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1"/>
  </w:num>
  <w:num w:numId="44">
    <w:abstractNumId w:val="9"/>
  </w:num>
  <w:num w:numId="45">
    <w:abstractNumId w:val="3"/>
  </w:num>
  <w:num w:numId="46">
    <w:abstractNumId w:val="5"/>
  </w:num>
  <w:num w:numId="47">
    <w:abstractNumId w:val="0"/>
  </w:num>
  <w:num w:numId="48">
    <w:abstractNumId w:val="10"/>
  </w:num>
  <w:num w:numId="49">
    <w:abstractNumId w:val="13"/>
  </w:num>
  <w:num w:numId="50">
    <w:abstractNumId w:val="8"/>
  </w:num>
  <w:num w:numId="51">
    <w:abstractNumId w:val="2"/>
  </w:num>
  <w:num w:numId="52">
    <w:abstractNumId w:val="12"/>
  </w:num>
  <w:num w:numId="53">
    <w:abstractNumId w:val="4"/>
  </w:num>
  <w:num w:numId="54">
    <w:abstractNumId w:val="1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rsids>
    <w:rsidRoot w:val="00A11C08"/>
    <w:rsid w:val="00026C84"/>
    <w:rsid w:val="00046580"/>
    <w:rsid w:val="000513AD"/>
    <w:rsid w:val="00052597"/>
    <w:rsid w:val="0005437E"/>
    <w:rsid w:val="00076ACC"/>
    <w:rsid w:val="00077C8F"/>
    <w:rsid w:val="000809F1"/>
    <w:rsid w:val="00081E4E"/>
    <w:rsid w:val="000A0EA9"/>
    <w:rsid w:val="000A1A3C"/>
    <w:rsid w:val="000A791E"/>
    <w:rsid w:val="000B565D"/>
    <w:rsid w:val="000B756C"/>
    <w:rsid w:val="000C1C9F"/>
    <w:rsid w:val="000C709F"/>
    <w:rsid w:val="000E3C41"/>
    <w:rsid w:val="00102EBC"/>
    <w:rsid w:val="00112839"/>
    <w:rsid w:val="00117C20"/>
    <w:rsid w:val="0013122C"/>
    <w:rsid w:val="00150011"/>
    <w:rsid w:val="00157AA2"/>
    <w:rsid w:val="00164E87"/>
    <w:rsid w:val="001A1FED"/>
    <w:rsid w:val="001A4310"/>
    <w:rsid w:val="001A6D5C"/>
    <w:rsid w:val="001B0AD5"/>
    <w:rsid w:val="001B3CDA"/>
    <w:rsid w:val="001D2E9F"/>
    <w:rsid w:val="001D5052"/>
    <w:rsid w:val="001F1311"/>
    <w:rsid w:val="002044E0"/>
    <w:rsid w:val="00217725"/>
    <w:rsid w:val="002244C6"/>
    <w:rsid w:val="00240FB8"/>
    <w:rsid w:val="00246F9C"/>
    <w:rsid w:val="002649C2"/>
    <w:rsid w:val="00277497"/>
    <w:rsid w:val="002B781D"/>
    <w:rsid w:val="002F6B08"/>
    <w:rsid w:val="00310561"/>
    <w:rsid w:val="00331F51"/>
    <w:rsid w:val="00337E8F"/>
    <w:rsid w:val="00344F7D"/>
    <w:rsid w:val="003548A3"/>
    <w:rsid w:val="00361887"/>
    <w:rsid w:val="00371B5E"/>
    <w:rsid w:val="00392D69"/>
    <w:rsid w:val="004025F2"/>
    <w:rsid w:val="00410C61"/>
    <w:rsid w:val="00420AB0"/>
    <w:rsid w:val="004960BF"/>
    <w:rsid w:val="004A3D0D"/>
    <w:rsid w:val="004B0EBE"/>
    <w:rsid w:val="004B5FA4"/>
    <w:rsid w:val="004B719B"/>
    <w:rsid w:val="004C6EBE"/>
    <w:rsid w:val="004E1CE9"/>
    <w:rsid w:val="004F47A8"/>
    <w:rsid w:val="00500371"/>
    <w:rsid w:val="00502740"/>
    <w:rsid w:val="00502B8B"/>
    <w:rsid w:val="00523769"/>
    <w:rsid w:val="00534C8B"/>
    <w:rsid w:val="00544F30"/>
    <w:rsid w:val="00574F92"/>
    <w:rsid w:val="0058700E"/>
    <w:rsid w:val="00587E62"/>
    <w:rsid w:val="005A0BE4"/>
    <w:rsid w:val="005A0C68"/>
    <w:rsid w:val="005C2D11"/>
    <w:rsid w:val="005F3D8E"/>
    <w:rsid w:val="00617693"/>
    <w:rsid w:val="006242F9"/>
    <w:rsid w:val="006278ED"/>
    <w:rsid w:val="00635261"/>
    <w:rsid w:val="00635742"/>
    <w:rsid w:val="00646265"/>
    <w:rsid w:val="00664BC6"/>
    <w:rsid w:val="00666C05"/>
    <w:rsid w:val="0069697E"/>
    <w:rsid w:val="006A0D08"/>
    <w:rsid w:val="006C4C26"/>
    <w:rsid w:val="006C5C8E"/>
    <w:rsid w:val="006E0B7C"/>
    <w:rsid w:val="006E3DB5"/>
    <w:rsid w:val="00706FD0"/>
    <w:rsid w:val="007130EA"/>
    <w:rsid w:val="00714836"/>
    <w:rsid w:val="007415FE"/>
    <w:rsid w:val="007419B8"/>
    <w:rsid w:val="0075172B"/>
    <w:rsid w:val="007669A5"/>
    <w:rsid w:val="00766C84"/>
    <w:rsid w:val="00796FEF"/>
    <w:rsid w:val="007B21A3"/>
    <w:rsid w:val="007B3314"/>
    <w:rsid w:val="007C38D0"/>
    <w:rsid w:val="007D6018"/>
    <w:rsid w:val="007E3BAF"/>
    <w:rsid w:val="00804C77"/>
    <w:rsid w:val="00807C9E"/>
    <w:rsid w:val="00813C2C"/>
    <w:rsid w:val="0082099C"/>
    <w:rsid w:val="00827FBF"/>
    <w:rsid w:val="008473FA"/>
    <w:rsid w:val="00893AD9"/>
    <w:rsid w:val="008A20AB"/>
    <w:rsid w:val="008A7BBB"/>
    <w:rsid w:val="008E3D64"/>
    <w:rsid w:val="008F1597"/>
    <w:rsid w:val="009130DC"/>
    <w:rsid w:val="0093360B"/>
    <w:rsid w:val="00951416"/>
    <w:rsid w:val="00952170"/>
    <w:rsid w:val="00954790"/>
    <w:rsid w:val="00974E8F"/>
    <w:rsid w:val="009C2292"/>
    <w:rsid w:val="009C23EF"/>
    <w:rsid w:val="009C3892"/>
    <w:rsid w:val="009D121E"/>
    <w:rsid w:val="00A02ADE"/>
    <w:rsid w:val="00A11C08"/>
    <w:rsid w:val="00A14392"/>
    <w:rsid w:val="00A153D7"/>
    <w:rsid w:val="00A353E8"/>
    <w:rsid w:val="00A365EA"/>
    <w:rsid w:val="00A41783"/>
    <w:rsid w:val="00A60BB1"/>
    <w:rsid w:val="00AA5A8B"/>
    <w:rsid w:val="00AD0155"/>
    <w:rsid w:val="00AE69CA"/>
    <w:rsid w:val="00AF30CD"/>
    <w:rsid w:val="00B0734A"/>
    <w:rsid w:val="00B10AF8"/>
    <w:rsid w:val="00B1621C"/>
    <w:rsid w:val="00B20125"/>
    <w:rsid w:val="00B7351E"/>
    <w:rsid w:val="00B86C24"/>
    <w:rsid w:val="00BB63CF"/>
    <w:rsid w:val="00BC0DEB"/>
    <w:rsid w:val="00BD084D"/>
    <w:rsid w:val="00BE08DE"/>
    <w:rsid w:val="00BF1AA5"/>
    <w:rsid w:val="00BF2344"/>
    <w:rsid w:val="00C1598E"/>
    <w:rsid w:val="00C43FB4"/>
    <w:rsid w:val="00C5612E"/>
    <w:rsid w:val="00CA1BFF"/>
    <w:rsid w:val="00CA390E"/>
    <w:rsid w:val="00CC55EF"/>
    <w:rsid w:val="00CD039C"/>
    <w:rsid w:val="00CD54A2"/>
    <w:rsid w:val="00CE53D9"/>
    <w:rsid w:val="00CF24D3"/>
    <w:rsid w:val="00D17267"/>
    <w:rsid w:val="00D27ADB"/>
    <w:rsid w:val="00D31536"/>
    <w:rsid w:val="00D3218E"/>
    <w:rsid w:val="00D55096"/>
    <w:rsid w:val="00D61A00"/>
    <w:rsid w:val="00D75D45"/>
    <w:rsid w:val="00D76A7E"/>
    <w:rsid w:val="00D91007"/>
    <w:rsid w:val="00DB0488"/>
    <w:rsid w:val="00DC17DC"/>
    <w:rsid w:val="00E23776"/>
    <w:rsid w:val="00E308CF"/>
    <w:rsid w:val="00E7223A"/>
    <w:rsid w:val="00EA1966"/>
    <w:rsid w:val="00EA7155"/>
    <w:rsid w:val="00EB743F"/>
    <w:rsid w:val="00F006F4"/>
    <w:rsid w:val="00F434EF"/>
    <w:rsid w:val="00F72676"/>
    <w:rsid w:val="00F8562A"/>
    <w:rsid w:val="00FB09C0"/>
    <w:rsid w:val="00FD2CB4"/>
    <w:rsid w:val="00FE70E6"/>
    <w:rsid w:val="00FF0D9B"/>
    <w:rsid w:val="00FF5C3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0D"/>
    <w:pPr>
      <w:spacing w:after="180"/>
      <w:jc w:val="both"/>
    </w:pPr>
    <w:rPr>
      <w:rFonts w:ascii="Arial" w:hAnsi="Arial"/>
      <w:spacing w:val="10"/>
      <w:lang w:eastAsia="fr-FR"/>
    </w:rPr>
  </w:style>
  <w:style w:type="paragraph" w:styleId="Titre1">
    <w:name w:val="heading 1"/>
    <w:basedOn w:val="Corpsdetexte"/>
    <w:next w:val="Normal"/>
    <w:link w:val="Titre1Car"/>
    <w:autoRedefine/>
    <w:qFormat/>
    <w:rsid w:val="004A3D0D"/>
    <w:pPr>
      <w:keepNext/>
      <w:numPr>
        <w:numId w:val="42"/>
      </w:numPr>
      <w:spacing w:before="120" w:after="280"/>
      <w:jc w:val="left"/>
      <w:outlineLvl w:val="0"/>
    </w:pPr>
    <w:rPr>
      <w:rFonts w:ascii="Calibri" w:hAnsi="Calibri" w:cs="Arial"/>
      <w:b/>
      <w:bCs/>
      <w:spacing w:val="0"/>
      <w:kern w:val="32"/>
      <w:sz w:val="32"/>
      <w:szCs w:val="32"/>
      <w:lang w:val="fr-FR"/>
    </w:rPr>
  </w:style>
  <w:style w:type="paragraph" w:styleId="Titre2">
    <w:name w:val="heading 2"/>
    <w:basedOn w:val="Corpsdetexte"/>
    <w:next w:val="Normal"/>
    <w:link w:val="Titre2Car"/>
    <w:autoRedefine/>
    <w:qFormat/>
    <w:rsid w:val="004A3D0D"/>
    <w:pPr>
      <w:keepNext/>
      <w:numPr>
        <w:ilvl w:val="1"/>
        <w:numId w:val="42"/>
      </w:numPr>
      <w:spacing w:before="240"/>
      <w:ind w:right="-425"/>
      <w:jc w:val="left"/>
      <w:outlineLvl w:val="1"/>
    </w:pPr>
    <w:rPr>
      <w:rFonts w:asciiTheme="minorHAnsi" w:eastAsia="Times New Roman" w:hAnsiTheme="minorHAnsi"/>
      <w:b/>
      <w:spacing w:val="0"/>
      <w:sz w:val="30"/>
    </w:rPr>
  </w:style>
  <w:style w:type="paragraph" w:styleId="Titre3">
    <w:name w:val="heading 3"/>
    <w:basedOn w:val="Corpsdetexte"/>
    <w:next w:val="Normal"/>
    <w:link w:val="Titre3Car"/>
    <w:autoRedefine/>
    <w:qFormat/>
    <w:rsid w:val="004A3D0D"/>
    <w:pPr>
      <w:keepNext/>
      <w:numPr>
        <w:ilvl w:val="2"/>
        <w:numId w:val="42"/>
      </w:numPr>
      <w:spacing w:before="240" w:after="240"/>
      <w:outlineLvl w:val="2"/>
    </w:pPr>
    <w:rPr>
      <w:rFonts w:asciiTheme="minorHAnsi" w:eastAsia="Times New Roman" w:hAnsiTheme="minorHAnsi"/>
      <w:b/>
      <w:spacing w:val="0"/>
      <w:sz w:val="28"/>
    </w:rPr>
  </w:style>
  <w:style w:type="paragraph" w:styleId="Titre4">
    <w:name w:val="heading 4"/>
    <w:basedOn w:val="Corpsdetexte"/>
    <w:next w:val="Normal"/>
    <w:link w:val="Titre4Car"/>
    <w:autoRedefine/>
    <w:qFormat/>
    <w:rsid w:val="004A3D0D"/>
    <w:pPr>
      <w:widowControl w:val="0"/>
      <w:numPr>
        <w:ilvl w:val="3"/>
        <w:numId w:val="42"/>
      </w:numPr>
      <w:spacing w:before="280"/>
      <w:jc w:val="left"/>
      <w:outlineLvl w:val="3"/>
    </w:pPr>
    <w:rPr>
      <w:rFonts w:eastAsia="Times New Roman"/>
      <w:spacing w:val="0"/>
    </w:rPr>
  </w:style>
  <w:style w:type="paragraph" w:styleId="Titre5">
    <w:name w:val="heading 5"/>
    <w:basedOn w:val="Corpsdetexte"/>
    <w:next w:val="Normal"/>
    <w:link w:val="Titre5Car"/>
    <w:qFormat/>
    <w:rsid w:val="004A3D0D"/>
    <w:pPr>
      <w:numPr>
        <w:ilvl w:val="4"/>
        <w:numId w:val="42"/>
      </w:numPr>
      <w:tabs>
        <w:tab w:val="left" w:pos="1276"/>
      </w:tabs>
      <w:spacing w:before="280"/>
      <w:jc w:val="left"/>
      <w:outlineLvl w:val="4"/>
    </w:pPr>
    <w:rPr>
      <w:rFonts w:eastAsia="Times New Roman"/>
      <w:b/>
      <w:i/>
      <w:spacing w:val="0"/>
      <w:sz w:val="26"/>
    </w:rPr>
  </w:style>
  <w:style w:type="paragraph" w:styleId="Titre6">
    <w:name w:val="heading 6"/>
    <w:basedOn w:val="Corpsdetexte"/>
    <w:next w:val="Normal"/>
    <w:link w:val="Titre6Car"/>
    <w:qFormat/>
    <w:rsid w:val="004A3D0D"/>
    <w:pPr>
      <w:numPr>
        <w:ilvl w:val="5"/>
        <w:numId w:val="42"/>
      </w:numPr>
      <w:tabs>
        <w:tab w:val="left" w:pos="1418"/>
      </w:tabs>
      <w:spacing w:before="160" w:after="80"/>
      <w:jc w:val="left"/>
      <w:outlineLvl w:val="5"/>
    </w:pPr>
    <w:rPr>
      <w:rFonts w:eastAsia="Times New Roman"/>
      <w:b/>
      <w:spacing w:val="0"/>
      <w:sz w:val="24"/>
    </w:rPr>
  </w:style>
  <w:style w:type="paragraph" w:styleId="Titre7">
    <w:name w:val="heading 7"/>
    <w:basedOn w:val="Corpsdetexte"/>
    <w:next w:val="Normal"/>
    <w:link w:val="Titre7Car"/>
    <w:autoRedefine/>
    <w:qFormat/>
    <w:rsid w:val="004A3D0D"/>
    <w:pPr>
      <w:numPr>
        <w:ilvl w:val="6"/>
        <w:numId w:val="42"/>
      </w:numPr>
      <w:tabs>
        <w:tab w:val="left" w:pos="1418"/>
      </w:tabs>
      <w:spacing w:before="480" w:after="240"/>
      <w:jc w:val="left"/>
      <w:outlineLvl w:val="6"/>
    </w:pPr>
    <w:rPr>
      <w:rFonts w:eastAsia="Times New Roman"/>
      <w:b/>
      <w:i/>
      <w:spacing w:val="0"/>
      <w:u w:val="single"/>
    </w:rPr>
  </w:style>
  <w:style w:type="paragraph" w:styleId="Titre8">
    <w:name w:val="heading 8"/>
    <w:basedOn w:val="Normal"/>
    <w:next w:val="Normal"/>
    <w:link w:val="Titre8Car"/>
    <w:qFormat/>
    <w:rsid w:val="004A3D0D"/>
    <w:pPr>
      <w:numPr>
        <w:ilvl w:val="7"/>
        <w:numId w:val="42"/>
      </w:numPr>
      <w:spacing w:before="240"/>
      <w:outlineLvl w:val="7"/>
    </w:pPr>
    <w:rPr>
      <w:rFonts w:eastAsia="Times New Roman"/>
      <w:i/>
    </w:rPr>
  </w:style>
  <w:style w:type="paragraph" w:styleId="Titre9">
    <w:name w:val="heading 9"/>
    <w:basedOn w:val="Normal"/>
    <w:next w:val="Normal"/>
    <w:link w:val="Titre9Car"/>
    <w:qFormat/>
    <w:rsid w:val="004A3D0D"/>
    <w:pPr>
      <w:numPr>
        <w:ilvl w:val="8"/>
        <w:numId w:val="42"/>
      </w:numPr>
      <w:spacing w:before="240"/>
      <w:outlineLvl w:val="8"/>
    </w:pPr>
    <w:rPr>
      <w:rFonts w:eastAsia="Times New Roman"/>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A3D0D"/>
    <w:rPr>
      <w:rFonts w:cs="Arial"/>
      <w:b/>
      <w:bCs/>
      <w:kern w:val="32"/>
      <w:sz w:val="32"/>
      <w:szCs w:val="32"/>
      <w:lang w:val="fr-FR" w:eastAsia="fr-FR"/>
    </w:rPr>
  </w:style>
  <w:style w:type="paragraph" w:styleId="Corpsdetexte">
    <w:name w:val="Body Text"/>
    <w:aliases w:val="Body Text1,Corps de texte Car1"/>
    <w:basedOn w:val="Normal"/>
    <w:link w:val="CorpsdetexteCar"/>
    <w:unhideWhenUsed/>
    <w:rsid w:val="00B1621C"/>
    <w:pPr>
      <w:spacing w:after="120"/>
    </w:pPr>
  </w:style>
  <w:style w:type="character" w:customStyle="1" w:styleId="CorpsdetexteCar">
    <w:name w:val="Corps de texte Car"/>
    <w:aliases w:val="Body Text1 Car,Corps de texte Car1 Car"/>
    <w:basedOn w:val="Policepardfaut"/>
    <w:link w:val="Corpsdetexte"/>
    <w:rsid w:val="00B1621C"/>
    <w:rPr>
      <w:rFonts w:ascii="Arial" w:hAnsi="Arial"/>
      <w:spacing w:val="10"/>
      <w:lang w:eastAsia="fr-FR"/>
    </w:rPr>
  </w:style>
  <w:style w:type="character" w:customStyle="1" w:styleId="Titre2Car">
    <w:name w:val="Titre 2 Car"/>
    <w:basedOn w:val="Policepardfaut"/>
    <w:link w:val="Titre2"/>
    <w:rsid w:val="00B1621C"/>
    <w:rPr>
      <w:rFonts w:asciiTheme="minorHAnsi" w:eastAsia="Times New Roman" w:hAnsiTheme="minorHAnsi"/>
      <w:b/>
      <w:sz w:val="30"/>
      <w:lang w:eastAsia="fr-FR"/>
    </w:rPr>
  </w:style>
  <w:style w:type="character" w:customStyle="1" w:styleId="Titre3Car">
    <w:name w:val="Titre 3 Car"/>
    <w:basedOn w:val="Policepardfaut"/>
    <w:link w:val="Titre3"/>
    <w:rsid w:val="00B1621C"/>
    <w:rPr>
      <w:rFonts w:asciiTheme="minorHAnsi" w:eastAsia="Times New Roman" w:hAnsiTheme="minorHAnsi"/>
      <w:b/>
      <w:sz w:val="28"/>
      <w:lang w:eastAsia="fr-FR"/>
    </w:rPr>
  </w:style>
  <w:style w:type="character" w:customStyle="1" w:styleId="Titre4Car">
    <w:name w:val="Titre 4 Car"/>
    <w:basedOn w:val="Policepardfaut"/>
    <w:link w:val="Titre4"/>
    <w:rsid w:val="00B1621C"/>
    <w:rPr>
      <w:rFonts w:ascii="Arial" w:eastAsia="Times New Roman" w:hAnsi="Arial"/>
      <w:lang w:eastAsia="fr-FR"/>
    </w:rPr>
  </w:style>
  <w:style w:type="character" w:customStyle="1" w:styleId="Titre5Car">
    <w:name w:val="Titre 5 Car"/>
    <w:basedOn w:val="Policepardfaut"/>
    <w:link w:val="Titre5"/>
    <w:rsid w:val="00B1621C"/>
    <w:rPr>
      <w:rFonts w:ascii="Arial" w:eastAsia="Times New Roman" w:hAnsi="Arial"/>
      <w:b/>
      <w:i/>
      <w:sz w:val="26"/>
      <w:lang w:eastAsia="fr-FR"/>
    </w:rPr>
  </w:style>
  <w:style w:type="character" w:customStyle="1" w:styleId="Titre6Car">
    <w:name w:val="Titre 6 Car"/>
    <w:basedOn w:val="Policepardfaut"/>
    <w:link w:val="Titre6"/>
    <w:rsid w:val="004A3D0D"/>
    <w:rPr>
      <w:rFonts w:ascii="Arial" w:eastAsia="Times New Roman" w:hAnsi="Arial"/>
      <w:b/>
      <w:sz w:val="24"/>
      <w:lang w:eastAsia="fr-FR"/>
    </w:rPr>
  </w:style>
  <w:style w:type="character" w:customStyle="1" w:styleId="Titre7Car">
    <w:name w:val="Titre 7 Car"/>
    <w:basedOn w:val="Policepardfaut"/>
    <w:link w:val="Titre7"/>
    <w:rsid w:val="004A3D0D"/>
    <w:rPr>
      <w:rFonts w:ascii="Arial" w:eastAsia="Times New Roman" w:hAnsi="Arial"/>
      <w:b/>
      <w:i/>
      <w:u w:val="single"/>
      <w:lang w:eastAsia="fr-FR"/>
    </w:rPr>
  </w:style>
  <w:style w:type="character" w:customStyle="1" w:styleId="Titre8Car">
    <w:name w:val="Titre 8 Car"/>
    <w:basedOn w:val="Policepardfaut"/>
    <w:link w:val="Titre8"/>
    <w:rsid w:val="004A3D0D"/>
    <w:rPr>
      <w:rFonts w:ascii="Arial" w:eastAsia="Times New Roman" w:hAnsi="Arial"/>
      <w:i/>
      <w:spacing w:val="10"/>
      <w:lang w:eastAsia="fr-FR"/>
    </w:rPr>
  </w:style>
  <w:style w:type="character" w:customStyle="1" w:styleId="Titre9Car">
    <w:name w:val="Titre 9 Car"/>
    <w:basedOn w:val="Policepardfaut"/>
    <w:link w:val="Titre9"/>
    <w:rsid w:val="004A3D0D"/>
    <w:rPr>
      <w:rFonts w:ascii="Arial" w:eastAsia="Times New Roman" w:hAnsi="Arial"/>
      <w:b/>
      <w:i/>
      <w:spacing w:val="10"/>
      <w:sz w:val="18"/>
      <w:lang w:eastAsia="fr-FR"/>
    </w:rPr>
  </w:style>
  <w:style w:type="paragraph" w:styleId="Lgende">
    <w:name w:val="caption"/>
    <w:basedOn w:val="Corpsdetexte"/>
    <w:next w:val="Corpsdetexte"/>
    <w:qFormat/>
    <w:rsid w:val="004A3D0D"/>
    <w:pPr>
      <w:spacing w:before="60" w:after="60"/>
      <w:jc w:val="center"/>
    </w:pPr>
    <w:rPr>
      <w:rFonts w:eastAsia="Times New Roman"/>
      <w:b/>
      <w:i/>
      <w:color w:val="0000FF"/>
    </w:rPr>
  </w:style>
  <w:style w:type="paragraph" w:styleId="Sansinterligne">
    <w:name w:val="No Spacing"/>
    <w:uiPriority w:val="1"/>
    <w:qFormat/>
    <w:rsid w:val="004A3D0D"/>
    <w:rPr>
      <w:rFonts w:eastAsia="Times New Roman"/>
      <w:sz w:val="22"/>
      <w:szCs w:val="22"/>
      <w:lang w:val="fr-FR" w:eastAsia="en-US"/>
    </w:rPr>
  </w:style>
  <w:style w:type="paragraph" w:styleId="Paragraphedeliste">
    <w:name w:val="List Paragraph"/>
    <w:basedOn w:val="Normal"/>
    <w:link w:val="ParagraphedelisteCar"/>
    <w:uiPriority w:val="34"/>
    <w:qFormat/>
    <w:rsid w:val="004A3D0D"/>
    <w:pPr>
      <w:ind w:left="720"/>
      <w:contextualSpacing/>
    </w:pPr>
    <w:rPr>
      <w:rFonts w:eastAsia="Times New Roman"/>
    </w:rPr>
  </w:style>
  <w:style w:type="character" w:customStyle="1" w:styleId="ParagraphedelisteCar">
    <w:name w:val="Paragraphe de liste Car"/>
    <w:basedOn w:val="Policepardfaut"/>
    <w:link w:val="Paragraphedeliste"/>
    <w:uiPriority w:val="34"/>
    <w:rsid w:val="00B1621C"/>
    <w:rPr>
      <w:rFonts w:ascii="Arial" w:eastAsia="Times New Roman" w:hAnsi="Arial"/>
      <w:spacing w:val="10"/>
      <w:lang w:eastAsia="fr-FR"/>
    </w:rPr>
  </w:style>
  <w:style w:type="paragraph" w:styleId="En-ttedetabledesmatires">
    <w:name w:val="TOC Heading"/>
    <w:basedOn w:val="Titre1"/>
    <w:next w:val="Normal"/>
    <w:uiPriority w:val="39"/>
    <w:unhideWhenUsed/>
    <w:qFormat/>
    <w:rsid w:val="004A3D0D"/>
    <w:pPr>
      <w:keepLines/>
      <w:numPr>
        <w:numId w:val="0"/>
      </w:numPr>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AvertissementIB">
    <w:name w:val="Avertissement_IB"/>
    <w:basedOn w:val="Normal"/>
    <w:qFormat/>
    <w:rsid w:val="004A3D0D"/>
    <w:pPr>
      <w:pBdr>
        <w:top w:val="single" w:sz="4" w:space="1" w:color="auto"/>
        <w:left w:val="single" w:sz="4" w:space="4" w:color="auto"/>
        <w:bottom w:val="single" w:sz="4" w:space="1" w:color="auto"/>
        <w:right w:val="single" w:sz="4" w:space="4" w:color="auto"/>
      </w:pBdr>
    </w:pPr>
    <w:rPr>
      <w:rFonts w:eastAsia="Times New Roman"/>
      <w:i/>
    </w:rPr>
  </w:style>
  <w:style w:type="paragraph" w:customStyle="1" w:styleId="niveaudetitre5">
    <w:name w:val="niveau de titre 5"/>
    <w:basedOn w:val="Corpsdetexte"/>
    <w:qFormat/>
    <w:rsid w:val="004A3D0D"/>
    <w:pPr>
      <w:pBdr>
        <w:top w:val="single" w:sz="4" w:space="1" w:color="auto"/>
        <w:left w:val="single" w:sz="4" w:space="4" w:color="auto"/>
        <w:bottom w:val="single" w:sz="4" w:space="1" w:color="auto"/>
        <w:right w:val="single" w:sz="4" w:space="4" w:color="auto"/>
      </w:pBdr>
      <w:shd w:val="clear" w:color="auto" w:fill="D9D9D9"/>
      <w:spacing w:before="240"/>
      <w:ind w:left="102"/>
    </w:pPr>
    <w:rPr>
      <w:rFonts w:eastAsia="Times New Roman"/>
      <w:sz w:val="22"/>
      <w:szCs w:val="22"/>
    </w:rPr>
  </w:style>
  <w:style w:type="paragraph" w:customStyle="1" w:styleId="Niveaudetitre6">
    <w:name w:val="Niveau de titre 6"/>
    <w:basedOn w:val="Corpsdetexte"/>
    <w:qFormat/>
    <w:rsid w:val="004A3D0D"/>
    <w:pPr>
      <w:pBdr>
        <w:bottom w:val="single" w:sz="4" w:space="1" w:color="auto"/>
      </w:pBdr>
      <w:spacing w:before="240" w:after="80"/>
      <w:ind w:right="-2"/>
    </w:pPr>
    <w:rPr>
      <w:rFonts w:eastAsia="Times New Roman" w:cs="Arial"/>
      <w:sz w:val="22"/>
      <w:szCs w:val="22"/>
    </w:rPr>
  </w:style>
  <w:style w:type="paragraph" w:customStyle="1" w:styleId="pucessouschapitres">
    <w:name w:val="puces sous chapitres"/>
    <w:basedOn w:val="Normal"/>
    <w:qFormat/>
    <w:rsid w:val="004A3D0D"/>
    <w:pPr>
      <w:numPr>
        <w:numId w:val="43"/>
      </w:numPr>
      <w:spacing w:before="220" w:after="60"/>
    </w:pPr>
    <w:rPr>
      <w:rFonts w:eastAsia="Times New Roman"/>
      <w:u w:val="single"/>
    </w:rPr>
  </w:style>
  <w:style w:type="paragraph" w:customStyle="1" w:styleId="soussoustitre">
    <w:name w:val="soussoustitre"/>
    <w:basedOn w:val="Corpsdetexte"/>
    <w:next w:val="Normal"/>
    <w:qFormat/>
    <w:rsid w:val="004A3D0D"/>
    <w:pPr>
      <w:spacing w:before="120" w:after="60"/>
    </w:pPr>
    <w:rPr>
      <w:rFonts w:eastAsia="Times New Roman"/>
      <w:u w:val="single"/>
    </w:rPr>
  </w:style>
  <w:style w:type="paragraph" w:customStyle="1" w:styleId="tableaupuce">
    <w:name w:val="tableau puce"/>
    <w:basedOn w:val="Normal"/>
    <w:qFormat/>
    <w:rsid w:val="004A3D0D"/>
    <w:pPr>
      <w:widowControl w:val="0"/>
      <w:tabs>
        <w:tab w:val="num" w:pos="1070"/>
      </w:tabs>
      <w:spacing w:after="0"/>
      <w:ind w:left="170" w:hanging="170"/>
      <w:jc w:val="left"/>
    </w:pPr>
    <w:rPr>
      <w:rFonts w:eastAsia="Times New Roman"/>
      <w:spacing w:val="-4"/>
      <w:szCs w:val="18"/>
      <w:lang w:val="fr-FR"/>
    </w:rPr>
  </w:style>
  <w:style w:type="paragraph" w:customStyle="1" w:styleId="Titredannexes">
    <w:name w:val="Titre d'annexes"/>
    <w:basedOn w:val="Normal"/>
    <w:next w:val="Normal"/>
    <w:qFormat/>
    <w:rsid w:val="004A3D0D"/>
    <w:pPr>
      <w:spacing w:before="120" w:after="360"/>
      <w:jc w:val="center"/>
    </w:pPr>
    <w:rPr>
      <w:rFonts w:eastAsia="Times New Roman"/>
      <w:b/>
      <w:sz w:val="32"/>
    </w:rPr>
  </w:style>
  <w:style w:type="paragraph" w:customStyle="1" w:styleId="titreniveau5">
    <w:name w:val="titre niveau 5"/>
    <w:basedOn w:val="Normal"/>
    <w:qFormat/>
    <w:rsid w:val="004A3D0D"/>
    <w:pPr>
      <w:pBdr>
        <w:top w:val="single" w:sz="4" w:space="1" w:color="auto"/>
        <w:left w:val="single" w:sz="4" w:space="4" w:color="auto"/>
        <w:bottom w:val="single" w:sz="4" w:space="1" w:color="auto"/>
        <w:right w:val="single" w:sz="4" w:space="4" w:color="auto"/>
      </w:pBdr>
      <w:shd w:val="clear" w:color="auto" w:fill="A6A6A6"/>
    </w:pPr>
    <w:rPr>
      <w:rFonts w:eastAsia="Times New Roman" w:cs="Arial"/>
      <w:szCs w:val="28"/>
    </w:rPr>
  </w:style>
  <w:style w:type="paragraph" w:customStyle="1" w:styleId="Titre30">
    <w:name w:val="Titre3"/>
    <w:basedOn w:val="Paragraphedeliste"/>
    <w:qFormat/>
    <w:rsid w:val="004A3D0D"/>
    <w:pPr>
      <w:numPr>
        <w:ilvl w:val="2"/>
        <w:numId w:val="44"/>
      </w:numPr>
      <w:spacing w:before="120" w:after="0"/>
    </w:pPr>
    <w:rPr>
      <w:b/>
      <w:sz w:val="24"/>
      <w:szCs w:val="24"/>
    </w:rPr>
  </w:style>
  <w:style w:type="paragraph" w:customStyle="1" w:styleId="Canevas1">
    <w:name w:val="Canevas 1"/>
    <w:basedOn w:val="Normal"/>
    <w:link w:val="Canevas1Car"/>
    <w:qFormat/>
    <w:rsid w:val="004A3D0D"/>
    <w:pPr>
      <w:spacing w:after="0"/>
    </w:pPr>
    <w:rPr>
      <w:rFonts w:asciiTheme="minorHAnsi" w:eastAsia="Times New Roman" w:hAnsiTheme="minorHAnsi"/>
      <w:b/>
      <w:spacing w:val="0"/>
      <w:sz w:val="22"/>
      <w:szCs w:val="24"/>
    </w:rPr>
  </w:style>
  <w:style w:type="character" w:customStyle="1" w:styleId="Canevas1Car">
    <w:name w:val="Canevas 1 Car"/>
    <w:basedOn w:val="Policepardfaut"/>
    <w:link w:val="Canevas1"/>
    <w:rsid w:val="00B1621C"/>
    <w:rPr>
      <w:rFonts w:asciiTheme="minorHAnsi" w:eastAsia="Times New Roman" w:hAnsiTheme="minorHAnsi"/>
      <w:b/>
      <w:sz w:val="22"/>
      <w:szCs w:val="24"/>
      <w:lang w:eastAsia="fr-FR"/>
    </w:rPr>
  </w:style>
  <w:style w:type="paragraph" w:customStyle="1" w:styleId="Default">
    <w:name w:val="Default"/>
    <w:rsid w:val="00D91007"/>
    <w:pPr>
      <w:autoSpaceDE w:val="0"/>
      <w:autoSpaceDN w:val="0"/>
      <w:adjustRightInd w:val="0"/>
    </w:pPr>
    <w:rPr>
      <w:rFonts w:ascii="Arial" w:hAnsi="Arial" w:cs="Arial"/>
      <w:color w:val="000000"/>
      <w:sz w:val="24"/>
      <w:szCs w:val="24"/>
    </w:rPr>
  </w:style>
  <w:style w:type="table" w:styleId="Grilledutableau">
    <w:name w:val="Table Grid"/>
    <w:basedOn w:val="TableauNormal"/>
    <w:rsid w:val="009C22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46F9C"/>
    <w:pPr>
      <w:tabs>
        <w:tab w:val="center" w:pos="4536"/>
        <w:tab w:val="right" w:pos="9072"/>
      </w:tabs>
      <w:spacing w:after="0"/>
    </w:pPr>
  </w:style>
  <w:style w:type="character" w:customStyle="1" w:styleId="En-tteCar">
    <w:name w:val="En-tête Car"/>
    <w:basedOn w:val="Policepardfaut"/>
    <w:link w:val="En-tte"/>
    <w:uiPriority w:val="99"/>
    <w:rsid w:val="00246F9C"/>
    <w:rPr>
      <w:rFonts w:ascii="Arial" w:hAnsi="Arial"/>
      <w:spacing w:val="10"/>
      <w:lang w:eastAsia="fr-FR"/>
    </w:rPr>
  </w:style>
  <w:style w:type="paragraph" w:styleId="Pieddepage">
    <w:name w:val="footer"/>
    <w:basedOn w:val="Normal"/>
    <w:link w:val="PieddepageCar"/>
    <w:unhideWhenUsed/>
    <w:rsid w:val="00246F9C"/>
    <w:pPr>
      <w:tabs>
        <w:tab w:val="center" w:pos="4536"/>
        <w:tab w:val="right" w:pos="9072"/>
      </w:tabs>
      <w:spacing w:after="0"/>
    </w:pPr>
  </w:style>
  <w:style w:type="character" w:customStyle="1" w:styleId="PieddepageCar">
    <w:name w:val="Pied de page Car"/>
    <w:basedOn w:val="Policepardfaut"/>
    <w:link w:val="Pieddepage"/>
    <w:uiPriority w:val="99"/>
    <w:rsid w:val="00246F9C"/>
    <w:rPr>
      <w:rFonts w:ascii="Arial" w:hAnsi="Arial"/>
      <w:spacing w:val="10"/>
      <w:lang w:eastAsia="fr-FR"/>
    </w:rPr>
  </w:style>
  <w:style w:type="paragraph" w:styleId="Textedebulles">
    <w:name w:val="Balloon Text"/>
    <w:basedOn w:val="Normal"/>
    <w:link w:val="TextedebullesCar"/>
    <w:uiPriority w:val="99"/>
    <w:semiHidden/>
    <w:unhideWhenUsed/>
    <w:rsid w:val="005A0C6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A0C68"/>
    <w:rPr>
      <w:rFonts w:ascii="Tahoma" w:hAnsi="Tahoma" w:cs="Tahoma"/>
      <w:spacing w:val="10"/>
      <w:sz w:val="16"/>
      <w:szCs w:val="16"/>
      <w:lang w:eastAsia="fr-FR"/>
    </w:rPr>
  </w:style>
  <w:style w:type="character" w:styleId="Marquedecommentaire">
    <w:name w:val="annotation reference"/>
    <w:basedOn w:val="Policepardfaut"/>
    <w:uiPriority w:val="99"/>
    <w:semiHidden/>
    <w:unhideWhenUsed/>
    <w:rsid w:val="00117C20"/>
    <w:rPr>
      <w:sz w:val="16"/>
      <w:szCs w:val="16"/>
    </w:rPr>
  </w:style>
  <w:style w:type="paragraph" w:styleId="Commentaire">
    <w:name w:val="annotation text"/>
    <w:basedOn w:val="Normal"/>
    <w:link w:val="CommentaireCar"/>
    <w:uiPriority w:val="99"/>
    <w:semiHidden/>
    <w:unhideWhenUsed/>
    <w:rsid w:val="00117C20"/>
  </w:style>
  <w:style w:type="character" w:customStyle="1" w:styleId="CommentaireCar">
    <w:name w:val="Commentaire Car"/>
    <w:basedOn w:val="Policepardfaut"/>
    <w:link w:val="Commentaire"/>
    <w:uiPriority w:val="99"/>
    <w:semiHidden/>
    <w:rsid w:val="00117C20"/>
    <w:rPr>
      <w:rFonts w:ascii="Arial" w:hAnsi="Arial"/>
      <w:spacing w:val="10"/>
      <w:lang w:eastAsia="fr-FR"/>
    </w:rPr>
  </w:style>
  <w:style w:type="paragraph" w:styleId="Objetducommentaire">
    <w:name w:val="annotation subject"/>
    <w:basedOn w:val="Commentaire"/>
    <w:next w:val="Commentaire"/>
    <w:link w:val="ObjetducommentaireCar"/>
    <w:uiPriority w:val="99"/>
    <w:semiHidden/>
    <w:unhideWhenUsed/>
    <w:rsid w:val="00117C20"/>
    <w:rPr>
      <w:b/>
      <w:bCs/>
    </w:rPr>
  </w:style>
  <w:style w:type="character" w:customStyle="1" w:styleId="ObjetducommentaireCar">
    <w:name w:val="Objet du commentaire Car"/>
    <w:basedOn w:val="CommentaireCar"/>
    <w:link w:val="Objetducommentaire"/>
    <w:uiPriority w:val="99"/>
    <w:semiHidden/>
    <w:rsid w:val="00117C20"/>
    <w:rPr>
      <w:rFonts w:ascii="Arial" w:hAnsi="Arial"/>
      <w:b/>
      <w:bCs/>
      <w:spacing w:val="10"/>
      <w:lang w:eastAsia="fr-FR"/>
    </w:rPr>
  </w:style>
  <w:style w:type="paragraph" w:styleId="Notedebasdepage">
    <w:name w:val="footnote text"/>
    <w:basedOn w:val="Normal"/>
    <w:link w:val="NotedebasdepageCar"/>
    <w:uiPriority w:val="99"/>
    <w:semiHidden/>
    <w:unhideWhenUsed/>
    <w:rsid w:val="00A60BB1"/>
    <w:pPr>
      <w:spacing w:after="0"/>
    </w:pPr>
  </w:style>
  <w:style w:type="character" w:customStyle="1" w:styleId="NotedebasdepageCar">
    <w:name w:val="Note de bas de page Car"/>
    <w:basedOn w:val="Policepardfaut"/>
    <w:link w:val="Notedebasdepage"/>
    <w:uiPriority w:val="99"/>
    <w:semiHidden/>
    <w:rsid w:val="00A60BB1"/>
    <w:rPr>
      <w:rFonts w:ascii="Arial" w:hAnsi="Arial"/>
      <w:spacing w:val="10"/>
      <w:lang w:eastAsia="fr-FR"/>
    </w:rPr>
  </w:style>
  <w:style w:type="character" w:styleId="Appelnotedebasdep">
    <w:name w:val="footnote reference"/>
    <w:basedOn w:val="Policepardfaut"/>
    <w:uiPriority w:val="99"/>
    <w:semiHidden/>
    <w:unhideWhenUsed/>
    <w:rsid w:val="00A60B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671651">
      <w:bodyDiv w:val="1"/>
      <w:marLeft w:val="0"/>
      <w:marRight w:val="0"/>
      <w:marTop w:val="0"/>
      <w:marBottom w:val="0"/>
      <w:divBdr>
        <w:top w:val="none" w:sz="0" w:space="0" w:color="auto"/>
        <w:left w:val="none" w:sz="0" w:space="0" w:color="auto"/>
        <w:bottom w:val="none" w:sz="0" w:space="0" w:color="auto"/>
        <w:right w:val="none" w:sz="0" w:space="0" w:color="auto"/>
      </w:divBdr>
    </w:div>
    <w:div w:id="1349018211">
      <w:bodyDiv w:val="1"/>
      <w:marLeft w:val="0"/>
      <w:marRight w:val="0"/>
      <w:marTop w:val="0"/>
      <w:marBottom w:val="0"/>
      <w:divBdr>
        <w:top w:val="none" w:sz="0" w:space="0" w:color="auto"/>
        <w:left w:val="none" w:sz="0" w:space="0" w:color="auto"/>
        <w:bottom w:val="none" w:sz="0" w:space="0" w:color="auto"/>
        <w:right w:val="none" w:sz="0" w:space="0" w:color="auto"/>
      </w:divBdr>
    </w:div>
    <w:div w:id="1892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1278474">
          <w:marLeft w:val="0"/>
          <w:marRight w:val="0"/>
          <w:marTop w:val="0"/>
          <w:marBottom w:val="0"/>
          <w:divBdr>
            <w:top w:val="none" w:sz="0" w:space="0" w:color="auto"/>
            <w:left w:val="none" w:sz="0" w:space="0" w:color="auto"/>
            <w:bottom w:val="none" w:sz="0" w:space="0" w:color="auto"/>
            <w:right w:val="none" w:sz="0" w:space="0" w:color="auto"/>
          </w:divBdr>
        </w:div>
        <w:div w:id="1165392165">
          <w:marLeft w:val="0"/>
          <w:marRight w:val="0"/>
          <w:marTop w:val="0"/>
          <w:marBottom w:val="0"/>
          <w:divBdr>
            <w:top w:val="none" w:sz="0" w:space="0" w:color="auto"/>
            <w:left w:val="none" w:sz="0" w:space="0" w:color="auto"/>
            <w:bottom w:val="none" w:sz="0" w:space="0" w:color="auto"/>
            <w:right w:val="none" w:sz="0" w:space="0" w:color="auto"/>
          </w:divBdr>
        </w:div>
        <w:div w:id="1048799836">
          <w:marLeft w:val="0"/>
          <w:marRight w:val="0"/>
          <w:marTop w:val="0"/>
          <w:marBottom w:val="0"/>
          <w:divBdr>
            <w:top w:val="none" w:sz="0" w:space="0" w:color="auto"/>
            <w:left w:val="none" w:sz="0" w:space="0" w:color="auto"/>
            <w:bottom w:val="none" w:sz="0" w:space="0" w:color="auto"/>
            <w:right w:val="none" w:sz="0" w:space="0" w:color="auto"/>
          </w:divBdr>
        </w:div>
        <w:div w:id="2139293832">
          <w:marLeft w:val="0"/>
          <w:marRight w:val="0"/>
          <w:marTop w:val="0"/>
          <w:marBottom w:val="0"/>
          <w:divBdr>
            <w:top w:val="none" w:sz="0" w:space="0" w:color="auto"/>
            <w:left w:val="none" w:sz="0" w:space="0" w:color="auto"/>
            <w:bottom w:val="none" w:sz="0" w:space="0" w:color="auto"/>
            <w:right w:val="none" w:sz="0" w:space="0" w:color="auto"/>
          </w:divBdr>
        </w:div>
        <w:div w:id="1214392482">
          <w:marLeft w:val="0"/>
          <w:marRight w:val="0"/>
          <w:marTop w:val="0"/>
          <w:marBottom w:val="0"/>
          <w:divBdr>
            <w:top w:val="none" w:sz="0" w:space="0" w:color="auto"/>
            <w:left w:val="none" w:sz="0" w:space="0" w:color="auto"/>
            <w:bottom w:val="none" w:sz="0" w:space="0" w:color="auto"/>
            <w:right w:val="none" w:sz="0" w:space="0" w:color="auto"/>
          </w:divBdr>
        </w:div>
        <w:div w:id="1559586300">
          <w:marLeft w:val="0"/>
          <w:marRight w:val="0"/>
          <w:marTop w:val="0"/>
          <w:marBottom w:val="0"/>
          <w:divBdr>
            <w:top w:val="none" w:sz="0" w:space="0" w:color="auto"/>
            <w:left w:val="none" w:sz="0" w:space="0" w:color="auto"/>
            <w:bottom w:val="none" w:sz="0" w:space="0" w:color="auto"/>
            <w:right w:val="none" w:sz="0" w:space="0" w:color="auto"/>
          </w:divBdr>
        </w:div>
        <w:div w:id="432097417">
          <w:marLeft w:val="0"/>
          <w:marRight w:val="0"/>
          <w:marTop w:val="0"/>
          <w:marBottom w:val="0"/>
          <w:divBdr>
            <w:top w:val="none" w:sz="0" w:space="0" w:color="auto"/>
            <w:left w:val="none" w:sz="0" w:space="0" w:color="auto"/>
            <w:bottom w:val="none" w:sz="0" w:space="0" w:color="auto"/>
            <w:right w:val="none" w:sz="0" w:space="0" w:color="auto"/>
          </w:divBdr>
        </w:div>
        <w:div w:id="1434594812">
          <w:marLeft w:val="0"/>
          <w:marRight w:val="0"/>
          <w:marTop w:val="0"/>
          <w:marBottom w:val="0"/>
          <w:divBdr>
            <w:top w:val="none" w:sz="0" w:space="0" w:color="auto"/>
            <w:left w:val="none" w:sz="0" w:space="0" w:color="auto"/>
            <w:bottom w:val="none" w:sz="0" w:space="0" w:color="auto"/>
            <w:right w:val="none" w:sz="0" w:space="0" w:color="auto"/>
          </w:divBdr>
        </w:div>
        <w:div w:id="822280279">
          <w:marLeft w:val="0"/>
          <w:marRight w:val="0"/>
          <w:marTop w:val="0"/>
          <w:marBottom w:val="0"/>
          <w:divBdr>
            <w:top w:val="none" w:sz="0" w:space="0" w:color="auto"/>
            <w:left w:val="none" w:sz="0" w:space="0" w:color="auto"/>
            <w:bottom w:val="none" w:sz="0" w:space="0" w:color="auto"/>
            <w:right w:val="none" w:sz="0" w:space="0" w:color="auto"/>
          </w:divBdr>
        </w:div>
        <w:div w:id="433093416">
          <w:marLeft w:val="0"/>
          <w:marRight w:val="0"/>
          <w:marTop w:val="0"/>
          <w:marBottom w:val="0"/>
          <w:divBdr>
            <w:top w:val="none" w:sz="0" w:space="0" w:color="auto"/>
            <w:left w:val="none" w:sz="0" w:space="0" w:color="auto"/>
            <w:bottom w:val="none" w:sz="0" w:space="0" w:color="auto"/>
            <w:right w:val="none" w:sz="0" w:space="0" w:color="auto"/>
          </w:divBdr>
        </w:div>
        <w:div w:id="1254169196">
          <w:marLeft w:val="0"/>
          <w:marRight w:val="0"/>
          <w:marTop w:val="0"/>
          <w:marBottom w:val="0"/>
          <w:divBdr>
            <w:top w:val="none" w:sz="0" w:space="0" w:color="auto"/>
            <w:left w:val="none" w:sz="0" w:space="0" w:color="auto"/>
            <w:bottom w:val="none" w:sz="0" w:space="0" w:color="auto"/>
            <w:right w:val="none" w:sz="0" w:space="0" w:color="auto"/>
          </w:divBdr>
        </w:div>
        <w:div w:id="544606498">
          <w:marLeft w:val="0"/>
          <w:marRight w:val="0"/>
          <w:marTop w:val="0"/>
          <w:marBottom w:val="0"/>
          <w:divBdr>
            <w:top w:val="none" w:sz="0" w:space="0" w:color="auto"/>
            <w:left w:val="none" w:sz="0" w:space="0" w:color="auto"/>
            <w:bottom w:val="none" w:sz="0" w:space="0" w:color="auto"/>
            <w:right w:val="none" w:sz="0" w:space="0" w:color="auto"/>
          </w:divBdr>
        </w:div>
        <w:div w:id="1922248898">
          <w:marLeft w:val="0"/>
          <w:marRight w:val="0"/>
          <w:marTop w:val="0"/>
          <w:marBottom w:val="0"/>
          <w:divBdr>
            <w:top w:val="none" w:sz="0" w:space="0" w:color="auto"/>
            <w:left w:val="none" w:sz="0" w:space="0" w:color="auto"/>
            <w:bottom w:val="none" w:sz="0" w:space="0" w:color="auto"/>
            <w:right w:val="none" w:sz="0" w:space="0" w:color="auto"/>
          </w:divBdr>
        </w:div>
        <w:div w:id="681666684">
          <w:marLeft w:val="0"/>
          <w:marRight w:val="0"/>
          <w:marTop w:val="0"/>
          <w:marBottom w:val="0"/>
          <w:divBdr>
            <w:top w:val="none" w:sz="0" w:space="0" w:color="auto"/>
            <w:left w:val="none" w:sz="0" w:space="0" w:color="auto"/>
            <w:bottom w:val="none" w:sz="0" w:space="0" w:color="auto"/>
            <w:right w:val="none" w:sz="0" w:space="0" w:color="auto"/>
          </w:divBdr>
        </w:div>
        <w:div w:id="13896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2FF7E-7E15-43B7-AAB2-F7FDC7A9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3879</Words>
  <Characters>21337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Theyskens Benoît</dc:creator>
  <cp:lastModifiedBy>N. Renaud ISAAC</cp:lastModifiedBy>
  <cp:revision>2</cp:revision>
  <cp:lastPrinted>2017-06-07T14:21:00Z</cp:lastPrinted>
  <dcterms:created xsi:type="dcterms:W3CDTF">2017-06-15T12:02:00Z</dcterms:created>
  <dcterms:modified xsi:type="dcterms:W3CDTF">2017-06-15T12:02:00Z</dcterms:modified>
</cp:coreProperties>
</file>