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C" w:rsidRPr="00D3044C" w:rsidRDefault="00D3044C" w:rsidP="00D3044C">
      <w:pPr>
        <w:pStyle w:val="soustitre"/>
        <w:spacing w:before="120" w:after="0"/>
        <w:jc w:val="center"/>
        <w:rPr>
          <w:rFonts w:ascii="Arial" w:hAnsi="Arial" w:cs="Arial"/>
          <w:b/>
          <w:u w:val="single"/>
        </w:rPr>
      </w:pPr>
      <w:r w:rsidRPr="00D3044C">
        <w:rPr>
          <w:rFonts w:ascii="Arial" w:hAnsi="Arial" w:cs="Arial"/>
          <w:b/>
          <w:u w:val="single"/>
        </w:rPr>
        <w:t>Projet d’assainissement</w:t>
      </w:r>
    </w:p>
    <w:p w:rsidR="0075389D" w:rsidRDefault="0075389D" w:rsidP="00D3044C">
      <w:pPr>
        <w:pStyle w:val="soustitre"/>
        <w:spacing w:before="120" w:after="0"/>
        <w:rPr>
          <w:rFonts w:ascii="Arial" w:hAnsi="Arial" w:cs="Arial"/>
        </w:rPr>
      </w:pP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Résumé du projet d’assainissement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1. Introduction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commentRangeStart w:id="0"/>
      <w:r w:rsidRPr="00D3044C">
        <w:rPr>
          <w:rFonts w:ascii="Arial" w:hAnsi="Arial" w:cs="Arial"/>
        </w:rPr>
        <w:t>(Mandat)</w:t>
      </w:r>
      <w:commentRangeEnd w:id="0"/>
      <w:r w:rsidRPr="00D3044C">
        <w:rPr>
          <w:rStyle w:val="Marquedecommentaire"/>
          <w:rFonts w:ascii="Arial" w:hAnsi="Arial" w:cs="Arial"/>
        </w:rPr>
        <w:commentReference w:id="0"/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  <w:lang w:val="fr-FR"/>
        </w:rPr>
      </w:pPr>
      <w:r w:rsidRPr="00D3044C">
        <w:rPr>
          <w:rFonts w:ascii="Arial" w:hAnsi="Arial" w:cs="Arial"/>
          <w:lang w:val="fr-FR"/>
        </w:rPr>
        <w:t>1.1 Contexte et objectifs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  <w:lang w:val="fr-FR"/>
        </w:rPr>
      </w:pPr>
      <w:r w:rsidRPr="00D3044C">
        <w:rPr>
          <w:rFonts w:ascii="Arial" w:hAnsi="Arial" w:cs="Arial"/>
          <w:lang w:val="fr-FR"/>
        </w:rPr>
        <w:t>1.2 Résumé non technique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2. Mise à jour des données administratives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3. Etude préparatoire</w:t>
      </w:r>
    </w:p>
    <w:p w:rsidR="00D3044C" w:rsidRPr="00D3044C" w:rsidRDefault="00D3044C" w:rsidP="00D3044C">
      <w:pPr>
        <w:pStyle w:val="premierparagraphe"/>
        <w:spacing w:before="80"/>
        <w:ind w:left="851" w:hanging="425"/>
        <w:rPr>
          <w:rFonts w:ascii="Arial" w:hAnsi="Arial" w:cs="Arial"/>
        </w:rPr>
      </w:pPr>
      <w:r w:rsidRPr="00D3044C">
        <w:rPr>
          <w:rFonts w:ascii="Arial" w:hAnsi="Arial" w:cs="Arial"/>
        </w:rPr>
        <w:t>3.1 Résumé des études d’orientation et de caractérisation ou de l’étude combinée (et de l’étude de risques)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3.2 Conditions et contraintes spécifiques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4. Examen de l'option simplifiée "excavation-évacuation totale"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5. Techniques applicables, variantes d’assainissement et analyse comparative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5.1 Techniques applicables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5.2 Variantes d’assainissement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5.3 Analyse comparative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5.4 Etudes, test et phase pilote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6. Description détaillée de la variante retenue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6.1 Données nécessaires au dimensionnement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6.2 Dimensionnement de la variante retenue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6.3 Résultats attendus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6.4 Mesures de réparation complémentaire et compensatoire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6.5 Surveillance et validation des actes et travaux d’assainissement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6.6 Délai de réalisation et planning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6.7 Incidences des travaux sur l'environnement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6.8 Mesures de sécurité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6.9 Estimation des coûts d'assainissement</w:t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</w:rPr>
      </w:pPr>
      <w:r w:rsidRPr="00D3044C">
        <w:rPr>
          <w:rFonts w:ascii="Arial" w:hAnsi="Arial" w:cs="Arial"/>
        </w:rPr>
        <w:t>7. Conclusions et recommandations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7.1 Conclusions et synthèse technique du projet d'assainissement</w:t>
      </w:r>
    </w:p>
    <w:p w:rsidR="00D3044C" w:rsidRPr="00D3044C" w:rsidRDefault="00D3044C" w:rsidP="00D3044C">
      <w:pPr>
        <w:pStyle w:val="premierparagraphe"/>
        <w:spacing w:before="80"/>
        <w:ind w:left="426"/>
        <w:rPr>
          <w:rFonts w:ascii="Arial" w:hAnsi="Arial" w:cs="Arial"/>
        </w:rPr>
      </w:pPr>
      <w:r w:rsidRPr="00D3044C">
        <w:rPr>
          <w:rFonts w:ascii="Arial" w:hAnsi="Arial" w:cs="Arial"/>
        </w:rPr>
        <w:t>7.2 Propositions et recommandations</w:t>
      </w:r>
    </w:p>
    <w:p w:rsidR="00D3044C" w:rsidRPr="00D3044C" w:rsidRDefault="00D3044C">
      <w:pPr>
        <w:rPr>
          <w:rFonts w:ascii="Arial" w:hAnsi="Arial" w:cs="Arial"/>
        </w:rPr>
      </w:pPr>
      <w:r w:rsidRPr="00D3044C">
        <w:rPr>
          <w:rFonts w:ascii="Arial" w:hAnsi="Arial" w:cs="Arial"/>
        </w:rPr>
        <w:br w:type="page"/>
      </w:r>
    </w:p>
    <w:p w:rsidR="00D3044C" w:rsidRPr="00D3044C" w:rsidRDefault="00D3044C" w:rsidP="00D3044C">
      <w:pPr>
        <w:pStyle w:val="soustitre"/>
        <w:spacing w:before="120" w:after="0"/>
        <w:rPr>
          <w:rFonts w:ascii="Arial" w:hAnsi="Arial" w:cs="Arial"/>
          <w:b/>
          <w:u w:val="single"/>
        </w:rPr>
      </w:pPr>
      <w:r w:rsidRPr="00D3044C">
        <w:rPr>
          <w:rFonts w:ascii="Arial" w:hAnsi="Arial" w:cs="Arial"/>
          <w:b/>
          <w:u w:val="single"/>
        </w:rPr>
        <w:lastRenderedPageBreak/>
        <w:t>Annexes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  <w:lang w:val="fr-FR"/>
        </w:rPr>
      </w:pPr>
      <w:r w:rsidRPr="0075389D">
        <w:rPr>
          <w:rFonts w:cs="Arial"/>
          <w:b/>
        </w:rPr>
        <w:t>Annexe A.1</w:t>
      </w:r>
      <w:r w:rsidRPr="00D3044C">
        <w:rPr>
          <w:rFonts w:cs="Arial"/>
        </w:rPr>
        <w:t xml:space="preserve"> : </w:t>
      </w:r>
      <w:commentRangeStart w:id="1"/>
      <w:r w:rsidRPr="00D3044C">
        <w:rPr>
          <w:rFonts w:cs="Arial"/>
        </w:rPr>
        <w:t xml:space="preserve">Formulaire de données </w:t>
      </w:r>
      <w:commentRangeEnd w:id="1"/>
      <w:r w:rsidRPr="00D3044C">
        <w:rPr>
          <w:rFonts w:cs="Arial"/>
        </w:rPr>
        <w:commentReference w:id="1"/>
      </w:r>
      <w:r w:rsidR="005B6844">
        <w:rPr>
          <w:rFonts w:cs="Arial"/>
        </w:rPr>
        <w:t xml:space="preserve">– </w:t>
      </w:r>
      <w:r w:rsidR="005B6844" w:rsidRPr="005B6844">
        <w:rPr>
          <w:rFonts w:cs="Arial"/>
          <w:b/>
          <w:caps/>
        </w:rPr>
        <w:t>obligatoire</w:t>
      </w:r>
      <w:r w:rsidR="005B6844" w:rsidRPr="005B6844">
        <w:rPr>
          <w:rFonts w:cs="Arial"/>
          <w:b/>
        </w:rPr>
        <w:t xml:space="preserve"> EN CAS DE </w:t>
      </w:r>
      <w:r w:rsidR="005B6844" w:rsidRPr="005B6844">
        <w:rPr>
          <w:rFonts w:cs="Arial"/>
          <w:b/>
          <w:caps/>
        </w:rPr>
        <w:t>version papier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  <w:lang w:val="fr-FR"/>
        </w:rPr>
      </w:pPr>
      <w:r w:rsidRPr="0075389D">
        <w:rPr>
          <w:rFonts w:cs="Arial"/>
          <w:b/>
        </w:rPr>
        <w:t>Annexe A2</w:t>
      </w:r>
      <w:r w:rsidRPr="00D3044C">
        <w:rPr>
          <w:rFonts w:cs="Arial"/>
          <w:lang w:val="fr-FR"/>
        </w:rPr>
        <w:t xml:space="preserve"> : Localisation des parcelles sur plan cadastral et liste des propriétaires – </w:t>
      </w:r>
      <w:r w:rsidRPr="00D3044C">
        <w:rPr>
          <w:rFonts w:cs="Arial"/>
          <w:b/>
        </w:rPr>
        <w:t>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  <w:b/>
        </w:rPr>
      </w:pPr>
      <w:r w:rsidRPr="0075389D">
        <w:rPr>
          <w:rFonts w:cs="Arial"/>
          <w:b/>
        </w:rPr>
        <w:t>Annexe B</w:t>
      </w:r>
      <w:r w:rsidRPr="00D3044C">
        <w:rPr>
          <w:rFonts w:cs="Arial"/>
        </w:rPr>
        <w:t> : Ensemble des feuillets tels que complétés pour les variantes comparées issus de l’outil GAMMA -</w:t>
      </w:r>
      <w:r w:rsidRPr="00D3044C">
        <w:rPr>
          <w:rFonts w:cs="Arial"/>
          <w:b/>
        </w:rPr>
        <w:t xml:space="preserve">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  <w:b/>
        </w:rPr>
      </w:pPr>
      <w:r w:rsidRPr="0075389D">
        <w:rPr>
          <w:rFonts w:cs="Arial"/>
          <w:b/>
        </w:rPr>
        <w:t>Annexe C</w:t>
      </w:r>
      <w:r w:rsidRPr="00D3044C">
        <w:rPr>
          <w:rFonts w:cs="Arial"/>
        </w:rPr>
        <w:t xml:space="preserve"> : Plan de mesures de suivi -  </w:t>
      </w:r>
      <w:r w:rsidRPr="00D3044C">
        <w:rPr>
          <w:rFonts w:cs="Arial"/>
          <w:b/>
        </w:rPr>
        <w:t xml:space="preserve">OBLIGATOIRE 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</w:rPr>
      </w:pPr>
      <w:r w:rsidRPr="0075389D">
        <w:rPr>
          <w:rFonts w:cs="Arial"/>
          <w:b/>
        </w:rPr>
        <w:t>Annexe D</w:t>
      </w:r>
      <w:r w:rsidRPr="00D3044C">
        <w:rPr>
          <w:rFonts w:cs="Arial"/>
        </w:rPr>
        <w:t xml:space="preserve"> : </w:t>
      </w:r>
      <w:commentRangeStart w:id="2"/>
      <w:r w:rsidRPr="00D3044C">
        <w:rPr>
          <w:rFonts w:cs="Arial"/>
        </w:rPr>
        <w:t xml:space="preserve">Notice d’évaluation des incidences </w:t>
      </w:r>
      <w:commentRangeEnd w:id="2"/>
      <w:r w:rsidRPr="00D3044C">
        <w:rPr>
          <w:rStyle w:val="Marquedecommentaire"/>
          <w:rFonts w:eastAsiaTheme="minorHAnsi" w:cs="Arial"/>
          <w:spacing w:val="0"/>
          <w:lang w:eastAsia="en-US" w:bidi="en-US"/>
        </w:rPr>
        <w:commentReference w:id="2"/>
      </w:r>
      <w:r w:rsidRPr="00D3044C">
        <w:rPr>
          <w:rFonts w:cs="Arial"/>
        </w:rPr>
        <w:t xml:space="preserve">– </w:t>
      </w:r>
      <w:r w:rsidRPr="00D3044C">
        <w:rPr>
          <w:rFonts w:cs="Arial"/>
          <w:b/>
        </w:rPr>
        <w:t>OBLIGATOIRE</w:t>
      </w:r>
      <w:r w:rsidRPr="00D3044C">
        <w:rPr>
          <w:rFonts w:cs="Arial"/>
        </w:rPr>
        <w:t xml:space="preserve"> 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</w:rPr>
      </w:pPr>
      <w:r w:rsidRPr="0075389D">
        <w:rPr>
          <w:rFonts w:cs="Arial"/>
          <w:b/>
        </w:rPr>
        <w:t>Annexe E (E1, E2,…)</w:t>
      </w:r>
      <w:r w:rsidRPr="00D3044C">
        <w:rPr>
          <w:rFonts w:cs="Arial"/>
        </w:rPr>
        <w:t> : Notes techniques relatives aux Etudes, Tests ou Phase pilote</w:t>
      </w:r>
    </w:p>
    <w:p w:rsidR="00D3044C" w:rsidRPr="00D3044C" w:rsidRDefault="00D3044C" w:rsidP="00D3044C">
      <w:pPr>
        <w:pStyle w:val="Puce1"/>
        <w:tabs>
          <w:tab w:val="num" w:pos="313"/>
          <w:tab w:val="num" w:pos="993"/>
        </w:tabs>
        <w:ind w:left="2268" w:hanging="1701"/>
        <w:rPr>
          <w:rFonts w:cs="Arial"/>
        </w:rPr>
      </w:pPr>
      <w:r w:rsidRPr="0075389D">
        <w:rPr>
          <w:rFonts w:cs="Arial"/>
          <w:b/>
        </w:rPr>
        <w:t>Annexe F</w:t>
      </w:r>
      <w:r w:rsidRPr="00D3044C">
        <w:rPr>
          <w:rFonts w:cs="Arial"/>
        </w:rPr>
        <w:t xml:space="preserve"> : Avis de l’organisme de contrôle - </w:t>
      </w:r>
      <w:r w:rsidRPr="00D3044C">
        <w:rPr>
          <w:rFonts w:cs="Arial"/>
          <w:b/>
        </w:rPr>
        <w:t>OBLIGATOIRE EN CAS DE REJET A L’EGOUT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</w:rPr>
      </w:pPr>
      <w:r w:rsidRPr="0075389D">
        <w:rPr>
          <w:rFonts w:cs="Arial"/>
          <w:b/>
        </w:rPr>
        <w:t>Annexe G</w:t>
      </w:r>
      <w:r w:rsidRPr="00D3044C">
        <w:rPr>
          <w:rFonts w:cs="Arial"/>
        </w:rPr>
        <w:t xml:space="preserve"> : Plan de mesures de sécurité (post-assainissement)</w:t>
      </w:r>
    </w:p>
    <w:p w:rsidR="00D3044C" w:rsidRPr="00D3044C" w:rsidRDefault="00D3044C" w:rsidP="00D3044C">
      <w:pPr>
        <w:pStyle w:val="Puce1"/>
        <w:tabs>
          <w:tab w:val="num" w:pos="993"/>
        </w:tabs>
        <w:ind w:left="2268" w:hanging="1701"/>
        <w:rPr>
          <w:rFonts w:cs="Arial"/>
        </w:rPr>
      </w:pPr>
      <w:r w:rsidRPr="0075389D">
        <w:rPr>
          <w:rFonts w:cs="Arial"/>
          <w:b/>
        </w:rPr>
        <w:t>Annexe H</w:t>
      </w:r>
      <w:r w:rsidRPr="00D3044C">
        <w:rPr>
          <w:rFonts w:cs="Arial"/>
        </w:rPr>
        <w:t> : Autres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ind w:left="357"/>
        <w:rPr>
          <w:rFonts w:cs="Arial"/>
        </w:rPr>
      </w:pPr>
    </w:p>
    <w:p w:rsidR="00D3044C" w:rsidRPr="00D3044C" w:rsidRDefault="00D3044C" w:rsidP="00D3044C">
      <w:pPr>
        <w:pStyle w:val="premierparagraphe"/>
        <w:rPr>
          <w:rFonts w:ascii="Arial" w:hAnsi="Arial" w:cs="Arial"/>
        </w:rPr>
      </w:pPr>
    </w:p>
    <w:p w:rsidR="00E036EE" w:rsidRPr="00D3044C" w:rsidRDefault="00D3044C" w:rsidP="00D3044C">
      <w:pPr>
        <w:pStyle w:val="soustitre"/>
        <w:spacing w:before="120" w:after="0"/>
        <w:rPr>
          <w:rFonts w:ascii="Arial" w:hAnsi="Arial" w:cs="Arial"/>
          <w:b/>
          <w:u w:val="single"/>
        </w:rPr>
      </w:pPr>
      <w:r w:rsidRPr="00D3044C">
        <w:rPr>
          <w:rFonts w:ascii="Arial" w:hAnsi="Arial" w:cs="Arial"/>
          <w:b/>
          <w:u w:val="single"/>
        </w:rPr>
        <w:t>Cartes et plans</w:t>
      </w:r>
    </w:p>
    <w:p w:rsidR="00D3044C" w:rsidRPr="00D3044C" w:rsidRDefault="00D3044C" w:rsidP="00D3044C">
      <w:pPr>
        <w:pStyle w:val="soussoustitre"/>
        <w:rPr>
          <w:rFonts w:cs="Arial"/>
          <w:b/>
          <w:u w:val="none"/>
          <w:lang w:val="fr-FR"/>
        </w:rPr>
      </w:pPr>
      <w:r w:rsidRPr="00D3044C">
        <w:rPr>
          <w:rFonts w:cs="Arial"/>
          <w:b/>
          <w:u w:val="none"/>
          <w:lang w:val="fr-FR"/>
        </w:rPr>
        <w:t xml:space="preserve">Cartes A </w:t>
      </w:r>
      <w:r w:rsidRPr="00D3044C">
        <w:rPr>
          <w:rFonts w:cs="Arial"/>
          <w:b/>
          <w:u w:val="none"/>
        </w:rPr>
        <w:t>: Données administratives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A1 : Localisation du terrain sur fond topographique récent à 1/10.000 ou 1/50.000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A2 : Localisation du terrain sur le plan de secteur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A3 : Localisation du terrain sur le plan communal d’aménagement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A4 : …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rPr>
          <w:rFonts w:cs="Arial"/>
          <w:lang w:val="fr-FR"/>
        </w:rPr>
      </w:pPr>
    </w:p>
    <w:p w:rsidR="00D3044C" w:rsidRPr="00D3044C" w:rsidRDefault="00D3044C" w:rsidP="00D3044C">
      <w:pPr>
        <w:pStyle w:val="Puce1"/>
        <w:numPr>
          <w:ilvl w:val="0"/>
          <w:numId w:val="0"/>
        </w:numPr>
        <w:rPr>
          <w:rFonts w:cs="Arial"/>
          <w:lang w:val="fr-FR"/>
        </w:rPr>
      </w:pPr>
      <w:r w:rsidRPr="00D3044C">
        <w:rPr>
          <w:rFonts w:cs="Arial"/>
          <w:b/>
          <w:lang w:val="fr-FR"/>
        </w:rPr>
        <w:t xml:space="preserve">Cartes et/ou </w:t>
      </w:r>
      <w:r w:rsidRPr="005B6844">
        <w:rPr>
          <w:rFonts w:cs="Arial"/>
          <w:b/>
          <w:lang w:val="fr-FR"/>
        </w:rPr>
        <w:t>Plans B : Données environnementales</w:t>
      </w:r>
      <w:r w:rsidRPr="00D3044C">
        <w:rPr>
          <w:rFonts w:cs="Arial"/>
          <w:lang w:val="fr-FR"/>
        </w:rPr>
        <w:t xml:space="preserve"> (</w:t>
      </w:r>
      <w:r w:rsidR="005B6844">
        <w:rPr>
          <w:rFonts w:cs="Arial"/>
          <w:lang w:val="fr-FR"/>
        </w:rPr>
        <w:t>v</w:t>
      </w:r>
      <w:r w:rsidRPr="00D3044C">
        <w:rPr>
          <w:rFonts w:cs="Arial"/>
          <w:lang w:val="fr-FR"/>
        </w:rPr>
        <w:t>alidation et/ou mise à jour des données de l’EC)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rPr>
          <w:rFonts w:cs="Arial"/>
          <w:lang w:val="fr-FR"/>
        </w:rPr>
      </w:pPr>
    </w:p>
    <w:p w:rsidR="00D3044C" w:rsidRDefault="00D3044C" w:rsidP="00D3044C">
      <w:pPr>
        <w:pStyle w:val="soussoustitre"/>
        <w:rPr>
          <w:rFonts w:cs="Arial"/>
          <w:b/>
          <w:u w:val="none"/>
          <w:lang w:val="fr-FR"/>
        </w:rPr>
      </w:pPr>
      <w:r w:rsidRPr="00D3044C">
        <w:rPr>
          <w:rFonts w:cs="Arial"/>
          <w:b/>
          <w:u w:val="none"/>
          <w:lang w:val="fr-FR"/>
        </w:rPr>
        <w:t>Cartes et/ou Plans C : Données historiques (validation/mise à jour des plans de l’EO/EC)</w:t>
      </w:r>
    </w:p>
    <w:p w:rsidR="005B6844" w:rsidRPr="005B6844" w:rsidRDefault="005B6844" w:rsidP="005B6844">
      <w:pPr>
        <w:pStyle w:val="premierparagraphe"/>
        <w:rPr>
          <w:lang w:val="fr-FR" w:eastAsia="fr-FR" w:bidi="ar-SA"/>
        </w:rPr>
      </w:pPr>
    </w:p>
    <w:p w:rsidR="00D3044C" w:rsidRPr="00D3044C" w:rsidRDefault="00D3044C" w:rsidP="00D3044C">
      <w:pPr>
        <w:pStyle w:val="soussoustitre"/>
        <w:rPr>
          <w:rFonts w:cs="Arial"/>
          <w:lang w:val="fr-FR"/>
        </w:rPr>
      </w:pPr>
      <w:r w:rsidRPr="00D3044C">
        <w:rPr>
          <w:rFonts w:cs="Arial"/>
          <w:b/>
          <w:u w:val="none"/>
          <w:lang w:val="fr-FR"/>
        </w:rPr>
        <w:t>Plans D : Comparatif des variantes</w:t>
      </w:r>
      <w:r w:rsidRPr="00D3044C">
        <w:rPr>
          <w:rFonts w:cs="Arial"/>
          <w:lang w:val="fr-FR"/>
        </w:rPr>
        <w:t xml:space="preserve"> 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ind w:left="851" w:hanging="567"/>
        <w:rPr>
          <w:rFonts w:cs="Arial"/>
          <w:lang w:val="fr-FR"/>
        </w:rPr>
      </w:pPr>
      <w:r w:rsidRPr="00D3044C">
        <w:rPr>
          <w:rFonts w:cs="Arial"/>
          <w:lang w:val="fr-FR"/>
        </w:rPr>
        <w:t>D1 : Zones d’excavation et/ou d’implantation des techniques d’assainissement par variante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D1.1. : variante 1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D1.2. : variante 2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etc.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ind w:left="1021"/>
        <w:rPr>
          <w:rFonts w:cs="Arial"/>
          <w:lang w:val="fr-FR"/>
        </w:rPr>
      </w:pPr>
    </w:p>
    <w:p w:rsidR="00D3044C" w:rsidRPr="00D3044C" w:rsidRDefault="00D3044C" w:rsidP="00D3044C">
      <w:pPr>
        <w:pStyle w:val="Puce1"/>
        <w:numPr>
          <w:ilvl w:val="0"/>
          <w:numId w:val="0"/>
        </w:numPr>
        <w:ind w:left="357" w:hanging="73"/>
        <w:rPr>
          <w:rFonts w:cs="Arial"/>
          <w:lang w:val="fr-FR"/>
        </w:rPr>
      </w:pPr>
      <w:r w:rsidRPr="00D3044C">
        <w:rPr>
          <w:rFonts w:cs="Arial"/>
          <w:lang w:val="fr-FR"/>
        </w:rPr>
        <w:t>D2 : Délimitation des pollutions résiduelles attendues par variante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D2.1. : variante 1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D2.2. : variante 2</w:t>
      </w:r>
    </w:p>
    <w:p w:rsid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etc.</w:t>
      </w:r>
    </w:p>
    <w:p w:rsidR="005B6844" w:rsidRDefault="005B6844" w:rsidP="005B6844">
      <w:pPr>
        <w:pStyle w:val="Puce1"/>
        <w:numPr>
          <w:ilvl w:val="0"/>
          <w:numId w:val="0"/>
        </w:numPr>
        <w:ind w:left="1418"/>
        <w:rPr>
          <w:rFonts w:cs="Arial"/>
        </w:rPr>
      </w:pPr>
    </w:p>
    <w:p w:rsidR="005B6844" w:rsidRDefault="005B6844" w:rsidP="005B6844">
      <w:pPr>
        <w:pStyle w:val="Puce1"/>
        <w:numPr>
          <w:ilvl w:val="0"/>
          <w:numId w:val="0"/>
        </w:numPr>
        <w:ind w:left="1418"/>
        <w:rPr>
          <w:rFonts w:cs="Arial"/>
        </w:rPr>
      </w:pPr>
    </w:p>
    <w:p w:rsidR="005B6844" w:rsidRDefault="005B6844" w:rsidP="005B6844">
      <w:pPr>
        <w:pStyle w:val="Puce1"/>
        <w:numPr>
          <w:ilvl w:val="0"/>
          <w:numId w:val="0"/>
        </w:numPr>
        <w:ind w:left="1418"/>
        <w:rPr>
          <w:rFonts w:cs="Arial"/>
        </w:rPr>
      </w:pPr>
    </w:p>
    <w:p w:rsidR="005B6844" w:rsidRPr="00D3044C" w:rsidRDefault="005B6844" w:rsidP="005B6844">
      <w:pPr>
        <w:pStyle w:val="Puce1"/>
        <w:numPr>
          <w:ilvl w:val="0"/>
          <w:numId w:val="0"/>
        </w:numPr>
        <w:ind w:left="1418"/>
        <w:rPr>
          <w:rFonts w:cs="Arial"/>
        </w:rPr>
      </w:pPr>
    </w:p>
    <w:p w:rsidR="00D3044C" w:rsidRPr="00D3044C" w:rsidRDefault="00D3044C" w:rsidP="00D3044C">
      <w:pPr>
        <w:pStyle w:val="soussoustitre"/>
        <w:rPr>
          <w:rFonts w:cs="Arial"/>
          <w:b/>
          <w:u w:val="none"/>
          <w:lang w:val="fr-FR"/>
        </w:rPr>
      </w:pPr>
      <w:r w:rsidRPr="00D3044C">
        <w:rPr>
          <w:rFonts w:cs="Arial"/>
          <w:b/>
          <w:u w:val="none"/>
          <w:lang w:val="fr-FR"/>
        </w:rPr>
        <w:lastRenderedPageBreak/>
        <w:t>Plans E : Présentation de la variante optimale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E1 : Plan localisant les périmètres d’application de chaque variante et technique pour l’ensemble du terrain </w:t>
      </w:r>
      <w:r w:rsidRPr="00D3044C">
        <w:rPr>
          <w:rFonts w:cs="Arial"/>
          <w:b/>
        </w:rPr>
        <w:t>–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E2 : Dimensionnement de la variante optimale </w:t>
      </w:r>
      <w:r w:rsidRPr="00D3044C">
        <w:rPr>
          <w:rFonts w:cs="Arial"/>
          <w:b/>
        </w:rPr>
        <w:t>–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Plan E3 : Schéma des mouvements de terres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Plan E4 : Coupe et profil des modifications de relief de la variante optimale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E4.1 : </w:t>
      </w:r>
      <w:r w:rsidR="005B6844">
        <w:rPr>
          <w:rFonts w:cs="Arial"/>
        </w:rPr>
        <w:t>U</w:t>
      </w:r>
      <w:r w:rsidRPr="00D3044C">
        <w:rPr>
          <w:rFonts w:cs="Arial"/>
        </w:rPr>
        <w:t xml:space="preserve">ne vue en plan de la modification du relief à l’échelle la plus appropriée. La vue en plan englobe une partie du relief des parcelles environnantes </w:t>
      </w:r>
      <w:r w:rsidRPr="00D3044C">
        <w:rPr>
          <w:rFonts w:cs="Arial"/>
          <w:b/>
        </w:rPr>
        <w:t>–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E4.2 : </w:t>
      </w:r>
      <w:r w:rsidR="005B6844">
        <w:rPr>
          <w:rFonts w:cs="Arial"/>
        </w:rPr>
        <w:t>D</w:t>
      </w:r>
      <w:r w:rsidRPr="00D3044C">
        <w:rPr>
          <w:rFonts w:cs="Arial"/>
        </w:rPr>
        <w:t xml:space="preserve">es profils ou coupes longitudinales et transversales, idéalement à la même échelle que la vue en plan (s’il </w:t>
      </w:r>
      <w:proofErr w:type="spellStart"/>
      <w:r w:rsidRPr="00D3044C">
        <w:rPr>
          <w:rFonts w:cs="Arial"/>
        </w:rPr>
        <w:t>échet</w:t>
      </w:r>
      <w:proofErr w:type="spellEnd"/>
      <w:r w:rsidRPr="00D3044C">
        <w:rPr>
          <w:rFonts w:cs="Arial"/>
        </w:rPr>
        <w:t xml:space="preserve">, les échelles verticales pourront être légèrement exagérées par rapport aux échelles horizontales) repérés par rapport à des points fixes, les profils et coupes sont localisés sur une vue en plan </w:t>
      </w:r>
      <w:r w:rsidRPr="00D3044C">
        <w:rPr>
          <w:rFonts w:cs="Arial"/>
          <w:b/>
        </w:rPr>
        <w:t>–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E4.3 : </w:t>
      </w:r>
      <w:r w:rsidR="005B6844">
        <w:rPr>
          <w:rFonts w:cs="Arial"/>
        </w:rPr>
        <w:t>D</w:t>
      </w:r>
      <w:r w:rsidRPr="00D3044C">
        <w:rPr>
          <w:rFonts w:cs="Arial"/>
        </w:rPr>
        <w:t>es croquis ou des images de synthèse d’intégration ou de « signalement » dans le paysage du terrain assaini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 xml:space="preserve">Plan E5 : Pollutions résiduelles attendues sur le terrain </w:t>
      </w:r>
      <w:r w:rsidRPr="00D3044C">
        <w:rPr>
          <w:rFonts w:cs="Arial"/>
          <w:b/>
        </w:rPr>
        <w:t>– OBLIGATOIRE</w:t>
      </w:r>
    </w:p>
    <w:p w:rsidR="00D3044C" w:rsidRPr="00D3044C" w:rsidRDefault="00D3044C" w:rsidP="00D3044C">
      <w:pPr>
        <w:pStyle w:val="Puce1"/>
        <w:tabs>
          <w:tab w:val="num" w:pos="993"/>
        </w:tabs>
        <w:ind w:left="1418" w:hanging="851"/>
        <w:rPr>
          <w:rFonts w:cs="Arial"/>
        </w:rPr>
      </w:pPr>
      <w:r w:rsidRPr="00D3044C">
        <w:rPr>
          <w:rFonts w:cs="Arial"/>
        </w:rPr>
        <w:t>Plan E6 : Trajets empruntés par le charroi</w:t>
      </w:r>
    </w:p>
    <w:p w:rsidR="00D3044C" w:rsidRPr="00D3044C" w:rsidRDefault="00D3044C" w:rsidP="00D3044C">
      <w:pPr>
        <w:pStyle w:val="Puce1"/>
        <w:numPr>
          <w:ilvl w:val="0"/>
          <w:numId w:val="0"/>
        </w:numPr>
        <w:rPr>
          <w:rFonts w:cs="Arial"/>
          <w:lang w:val="fr-FR"/>
        </w:rPr>
      </w:pPr>
    </w:p>
    <w:p w:rsidR="00D3044C" w:rsidRPr="00D3044C" w:rsidRDefault="00D3044C" w:rsidP="00D3044C">
      <w:pPr>
        <w:pStyle w:val="premierparagraphe"/>
        <w:rPr>
          <w:rFonts w:ascii="Arial" w:hAnsi="Arial" w:cs="Arial"/>
        </w:rPr>
      </w:pPr>
    </w:p>
    <w:sectPr w:rsidR="00D3044C" w:rsidRPr="00D3044C" w:rsidSect="00E0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40966" w:date="2018-12-06T10:50:00Z" w:initials="JB">
    <w:p w:rsidR="00D3044C" w:rsidRDefault="00D3044C">
      <w:pPr>
        <w:pStyle w:val="Commentaire"/>
      </w:pPr>
      <w:r>
        <w:rPr>
          <w:rStyle w:val="Marquedecommentaire"/>
        </w:rPr>
        <w:annotationRef/>
      </w:r>
      <w:r>
        <w:t>Lien</w:t>
      </w:r>
    </w:p>
  </w:comment>
  <w:comment w:id="1" w:author="40966" w:date="2018-12-06T10:48:00Z" w:initials="JB">
    <w:p w:rsidR="00D3044C" w:rsidRDefault="00D3044C" w:rsidP="00D3044C">
      <w:pPr>
        <w:pStyle w:val="Commentaire"/>
      </w:pPr>
      <w:r>
        <w:rPr>
          <w:rStyle w:val="Marquedecommentaire"/>
        </w:rPr>
        <w:annotationRef/>
      </w:r>
      <w:r>
        <w:t>Lien</w:t>
      </w:r>
    </w:p>
  </w:comment>
  <w:comment w:id="2" w:author="40966" w:date="2018-12-06T10:50:00Z" w:initials="JB">
    <w:p w:rsidR="00D3044C" w:rsidRDefault="00D3044C">
      <w:pPr>
        <w:pStyle w:val="Commentaire"/>
      </w:pPr>
      <w:r>
        <w:rPr>
          <w:rStyle w:val="Marquedecommentaire"/>
        </w:rPr>
        <w:annotationRef/>
      </w:r>
      <w:r>
        <w:t>Lien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661"/>
    <w:multiLevelType w:val="singleLevel"/>
    <w:tmpl w:val="93C0D0A0"/>
    <w:lvl w:ilvl="0">
      <w:start w:val="1"/>
      <w:numFmt w:val="bullet"/>
      <w:pStyle w:val="Puce1"/>
      <w:lvlText w:val=""/>
      <w:lvlJc w:val="left"/>
      <w:pPr>
        <w:tabs>
          <w:tab w:val="num" w:pos="880"/>
        </w:tabs>
        <w:ind w:left="880" w:hanging="45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044C"/>
    <w:rsid w:val="00111395"/>
    <w:rsid w:val="002F5F41"/>
    <w:rsid w:val="004170EA"/>
    <w:rsid w:val="004764B1"/>
    <w:rsid w:val="00484929"/>
    <w:rsid w:val="004A71D7"/>
    <w:rsid w:val="0055098A"/>
    <w:rsid w:val="005B6844"/>
    <w:rsid w:val="00662BAB"/>
    <w:rsid w:val="006D31DF"/>
    <w:rsid w:val="00703BDF"/>
    <w:rsid w:val="0075389D"/>
    <w:rsid w:val="0081268F"/>
    <w:rsid w:val="008F2A63"/>
    <w:rsid w:val="00B152B0"/>
    <w:rsid w:val="00B61085"/>
    <w:rsid w:val="00BF5BD6"/>
    <w:rsid w:val="00CA19F2"/>
    <w:rsid w:val="00CB7F9E"/>
    <w:rsid w:val="00CD08F3"/>
    <w:rsid w:val="00D3044C"/>
    <w:rsid w:val="00D601AC"/>
    <w:rsid w:val="00D82F06"/>
    <w:rsid w:val="00DD48AD"/>
    <w:rsid w:val="00DE0596"/>
    <w:rsid w:val="00E036EE"/>
    <w:rsid w:val="00E32FA2"/>
    <w:rsid w:val="00E72E69"/>
    <w:rsid w:val="00F54264"/>
    <w:rsid w:val="00F7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AC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60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0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0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0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01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01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01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01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01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60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01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60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D601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601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601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601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601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01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60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0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0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0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601AC"/>
    <w:rPr>
      <w:b/>
      <w:bCs/>
    </w:rPr>
  </w:style>
  <w:style w:type="character" w:styleId="Accentuation">
    <w:name w:val="Emphasis"/>
    <w:basedOn w:val="Policepardfaut"/>
    <w:uiPriority w:val="20"/>
    <w:qFormat/>
    <w:rsid w:val="00D601AC"/>
    <w:rPr>
      <w:i/>
      <w:iCs/>
    </w:rPr>
  </w:style>
  <w:style w:type="paragraph" w:styleId="Sansinterligne">
    <w:name w:val="No Spacing"/>
    <w:uiPriority w:val="1"/>
    <w:qFormat/>
    <w:rsid w:val="00D601A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01A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601A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601A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01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01A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601A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601A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601A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601A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601A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01AC"/>
    <w:pPr>
      <w:outlineLvl w:val="9"/>
    </w:pPr>
  </w:style>
  <w:style w:type="paragraph" w:customStyle="1" w:styleId="premierparagraphe">
    <w:name w:val="premier paragraphe"/>
    <w:basedOn w:val="Corpsdetexte"/>
    <w:next w:val="Corpsdetexte"/>
    <w:link w:val="premierparagrapheCar"/>
    <w:rsid w:val="00D3044C"/>
  </w:style>
  <w:style w:type="paragraph" w:customStyle="1" w:styleId="soustitre">
    <w:name w:val="soustitre"/>
    <w:basedOn w:val="Corpsdetexte"/>
    <w:next w:val="premierparagraphe"/>
    <w:rsid w:val="00D3044C"/>
  </w:style>
  <w:style w:type="character" w:customStyle="1" w:styleId="premierparagrapheCar">
    <w:name w:val="premier paragraphe Car"/>
    <w:link w:val="premierparagraphe"/>
    <w:rsid w:val="00D3044C"/>
    <w:rPr>
      <w:lang w:val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3044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044C"/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D304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4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44C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4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44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4C"/>
    <w:rPr>
      <w:rFonts w:ascii="Tahoma" w:hAnsi="Tahoma" w:cs="Tahoma"/>
      <w:sz w:val="16"/>
      <w:szCs w:val="16"/>
      <w:lang w:val="fr-BE"/>
    </w:rPr>
  </w:style>
  <w:style w:type="paragraph" w:customStyle="1" w:styleId="Puce1">
    <w:name w:val="Puce 1"/>
    <w:basedOn w:val="Corpsdetexte"/>
    <w:link w:val="Puce1Car1"/>
    <w:rsid w:val="00D3044C"/>
    <w:pPr>
      <w:numPr>
        <w:numId w:val="1"/>
      </w:numPr>
      <w:spacing w:before="80" w:after="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 w:bidi="ar-SA"/>
    </w:rPr>
  </w:style>
  <w:style w:type="character" w:customStyle="1" w:styleId="Puce1Car1">
    <w:name w:val="Puce 1 Car1"/>
    <w:basedOn w:val="Policepardfaut"/>
    <w:link w:val="Puce1"/>
    <w:rsid w:val="00D3044C"/>
    <w:rPr>
      <w:rFonts w:ascii="Arial" w:eastAsia="Times New Roman" w:hAnsi="Arial" w:cs="Times New Roman"/>
      <w:spacing w:val="10"/>
      <w:sz w:val="20"/>
      <w:szCs w:val="20"/>
      <w:lang w:val="fr-BE" w:eastAsia="fr-FR" w:bidi="ar-SA"/>
    </w:rPr>
  </w:style>
  <w:style w:type="character" w:styleId="Lienhypertexte">
    <w:name w:val="Hyperlink"/>
    <w:uiPriority w:val="99"/>
    <w:rsid w:val="00D3044C"/>
    <w:rPr>
      <w:color w:val="0000FF"/>
      <w:u w:val="single"/>
    </w:rPr>
  </w:style>
  <w:style w:type="paragraph" w:customStyle="1" w:styleId="soussoustitre">
    <w:name w:val="soussoustitre"/>
    <w:basedOn w:val="Corpsdetexte"/>
    <w:next w:val="premierparagraphe"/>
    <w:link w:val="soussoustitreCar"/>
    <w:qFormat/>
    <w:rsid w:val="00D3044C"/>
    <w:pPr>
      <w:spacing w:before="120" w:after="6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u w:val="single"/>
      <w:lang w:eastAsia="fr-FR" w:bidi="ar-SA"/>
    </w:rPr>
  </w:style>
  <w:style w:type="character" w:customStyle="1" w:styleId="soussoustitreCar">
    <w:name w:val="soussoustitre Car"/>
    <w:link w:val="soussoustitre"/>
    <w:rsid w:val="00D3044C"/>
    <w:rPr>
      <w:rFonts w:ascii="Arial" w:eastAsia="Times New Roman" w:hAnsi="Arial" w:cs="Times New Roman"/>
      <w:spacing w:val="10"/>
      <w:sz w:val="20"/>
      <w:szCs w:val="20"/>
      <w:u w:val="single"/>
      <w:lang w:val="fr-BE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40966</dc:creator>
  <cp:lastModifiedBy>14497</cp:lastModifiedBy>
  <cp:revision>2</cp:revision>
  <dcterms:created xsi:type="dcterms:W3CDTF">2019-02-18T10:24:00Z</dcterms:created>
  <dcterms:modified xsi:type="dcterms:W3CDTF">2019-02-18T10:24:00Z</dcterms:modified>
</cp:coreProperties>
</file>